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DE" w:rsidRDefault="008273DE">
      <w:pPr>
        <w:pStyle w:val="Heading1"/>
        <w:rPr>
          <w:sz w:val="24"/>
        </w:rPr>
      </w:pPr>
      <w:r>
        <w:rPr>
          <w:sz w:val="24"/>
        </w:rPr>
        <w:t>Chapter 19.30 – LIGHT INDUSTRIAL DISTRICT</w:t>
      </w:r>
    </w:p>
    <w:p w:rsidR="008273DE" w:rsidRDefault="008273DE">
      <w:pPr>
        <w:jc w:val="both"/>
      </w:pPr>
    </w:p>
    <w:p w:rsidR="008273DE" w:rsidRDefault="008273DE">
      <w:pPr>
        <w:pStyle w:val="Heading2"/>
      </w:pPr>
      <w:proofErr w:type="gramStart"/>
      <w:r>
        <w:t>Section 19.30.010 – Purpose and Intent.</w:t>
      </w:r>
      <w:proofErr w:type="gramEnd"/>
    </w:p>
    <w:p w:rsidR="008273DE" w:rsidRDefault="008273DE">
      <w:pPr>
        <w:pStyle w:val="BodyText"/>
      </w:pPr>
      <w:r>
        <w:t>The purpose of the Light Industrial District is to provide minimum standards for the development of sites for establishments producing higher value products, such as:  processed foods, recreational, scientific or business supplies and related compatible uses such as warehouses or service industries--provided that no use provides retail sales at the point of manufacture or causes hazardous or obnoxious conditions due to emissions, or outdoor storage of materials.</w:t>
      </w:r>
    </w:p>
    <w:p w:rsidR="008273DE" w:rsidRDefault="008273DE">
      <w:pPr>
        <w:jc w:val="both"/>
      </w:pPr>
    </w:p>
    <w:p w:rsidR="008273DE" w:rsidRDefault="008273DE">
      <w:pPr>
        <w:pStyle w:val="Heading2"/>
      </w:pPr>
      <w:proofErr w:type="gramStart"/>
      <w:r>
        <w:t>Section 19.30.020 - Permitted Uses.</w:t>
      </w:r>
      <w:proofErr w:type="gramEnd"/>
    </w:p>
    <w:p w:rsidR="008273DE" w:rsidRDefault="008273DE">
      <w:pPr>
        <w:jc w:val="both"/>
        <w:rPr>
          <w:rFonts w:ascii="Arial" w:hAnsi="Arial"/>
          <w:sz w:val="22"/>
        </w:rPr>
      </w:pPr>
    </w:p>
    <w:p w:rsidR="008273DE" w:rsidRDefault="008273DE">
      <w:pPr>
        <w:pStyle w:val="BodyTextIndent"/>
        <w:ind w:left="0" w:firstLine="0"/>
      </w:pPr>
      <w:r>
        <w:t>1.  The manufacture, processing, compounding, storage, packaging, or treatment of food products.</w:t>
      </w:r>
    </w:p>
    <w:p w:rsidR="008273DE" w:rsidRDefault="008273DE">
      <w:pPr>
        <w:jc w:val="both"/>
        <w:rPr>
          <w:rFonts w:ascii="Arial" w:hAnsi="Arial"/>
          <w:sz w:val="22"/>
        </w:rPr>
      </w:pPr>
    </w:p>
    <w:p w:rsidR="008273DE" w:rsidRDefault="008273DE">
      <w:pPr>
        <w:pStyle w:val="BodyText"/>
      </w:pPr>
      <w:r>
        <w:t>2.  The manufacture, assembly, compounding, packaging, or treatment of products similar to the following:  scientific, business or industrial machinery or instrumentation; recreational equipment and clothes; drugs, cosmetics or toiletries, finished hardware products or construction specialties; mobile or modular homes.</w:t>
      </w:r>
    </w:p>
    <w:p w:rsidR="008273DE" w:rsidRDefault="008273DE">
      <w:pPr>
        <w:jc w:val="both"/>
        <w:rPr>
          <w:rFonts w:ascii="Arial" w:hAnsi="Arial"/>
          <w:sz w:val="22"/>
        </w:rPr>
      </w:pPr>
    </w:p>
    <w:p w:rsidR="008273DE" w:rsidRDefault="008273DE">
      <w:pPr>
        <w:jc w:val="both"/>
        <w:rPr>
          <w:rFonts w:ascii="Arial" w:hAnsi="Arial"/>
          <w:sz w:val="22"/>
        </w:rPr>
      </w:pPr>
      <w:r>
        <w:rPr>
          <w:rFonts w:ascii="Arial" w:hAnsi="Arial"/>
          <w:sz w:val="22"/>
        </w:rPr>
        <w:t>3.  Research, experimental or testing laboratories.</w:t>
      </w:r>
    </w:p>
    <w:p w:rsidR="008273DE" w:rsidRDefault="008273DE">
      <w:pPr>
        <w:jc w:val="both"/>
        <w:rPr>
          <w:rFonts w:ascii="Arial" w:hAnsi="Arial"/>
          <w:sz w:val="22"/>
        </w:rPr>
      </w:pPr>
    </w:p>
    <w:p w:rsidR="00B5094F" w:rsidRPr="00B5094F" w:rsidRDefault="00B5094F" w:rsidP="00B5094F">
      <w:pPr>
        <w:pStyle w:val="BodyText2"/>
      </w:pPr>
      <w:r w:rsidRPr="00B5094F">
        <w:t>4.  Professional services associated with the construction industry such as: architects, engineers, construction management, developers and planners.</w:t>
      </w:r>
    </w:p>
    <w:p w:rsidR="00B5094F" w:rsidRPr="00420235" w:rsidRDefault="00B5094F" w:rsidP="00B5094F">
      <w:pPr>
        <w:pStyle w:val="BodyText2"/>
        <w:rPr>
          <w:b/>
          <w:i/>
          <w:u w:val="single"/>
        </w:rPr>
      </w:pPr>
    </w:p>
    <w:p w:rsidR="00B5094F" w:rsidRDefault="00B5094F" w:rsidP="00B5094F">
      <w:pPr>
        <w:jc w:val="both"/>
        <w:rPr>
          <w:rFonts w:ascii="Arial" w:hAnsi="Arial"/>
          <w:sz w:val="22"/>
        </w:rPr>
      </w:pPr>
      <w:r>
        <w:rPr>
          <w:rFonts w:ascii="Arial" w:hAnsi="Arial"/>
          <w:sz w:val="22"/>
        </w:rPr>
        <w:t xml:space="preserve">5.  Transportation providers, such as motor </w:t>
      </w:r>
      <w:proofErr w:type="spellStart"/>
      <w:r>
        <w:rPr>
          <w:rFonts w:ascii="Arial" w:hAnsi="Arial"/>
          <w:sz w:val="22"/>
        </w:rPr>
        <w:t>freightlines</w:t>
      </w:r>
      <w:proofErr w:type="spellEnd"/>
      <w:r>
        <w:rPr>
          <w:rFonts w:ascii="Arial" w:hAnsi="Arial"/>
          <w:sz w:val="22"/>
        </w:rPr>
        <w:t>.</w:t>
      </w:r>
    </w:p>
    <w:p w:rsidR="00B5094F" w:rsidRDefault="00B5094F" w:rsidP="00B5094F">
      <w:pPr>
        <w:jc w:val="both"/>
        <w:rPr>
          <w:rFonts w:ascii="Arial" w:hAnsi="Arial"/>
          <w:sz w:val="22"/>
        </w:rPr>
      </w:pPr>
    </w:p>
    <w:p w:rsidR="00B5094F" w:rsidRDefault="00B5094F" w:rsidP="00B5094F">
      <w:pPr>
        <w:jc w:val="both"/>
        <w:rPr>
          <w:rFonts w:ascii="Arial" w:hAnsi="Arial"/>
          <w:sz w:val="22"/>
        </w:rPr>
      </w:pPr>
      <w:r>
        <w:rPr>
          <w:rFonts w:ascii="Arial" w:hAnsi="Arial"/>
          <w:sz w:val="22"/>
        </w:rPr>
        <w:t>6.  Wholesale businesses selling finished goods stored within buildings.</w:t>
      </w:r>
    </w:p>
    <w:p w:rsidR="00B5094F" w:rsidRDefault="00B5094F" w:rsidP="00B5094F">
      <w:pPr>
        <w:jc w:val="both"/>
        <w:rPr>
          <w:rFonts w:ascii="Arial" w:hAnsi="Arial"/>
          <w:sz w:val="22"/>
        </w:rPr>
      </w:pPr>
    </w:p>
    <w:p w:rsidR="00B5094F" w:rsidRDefault="00B5094F" w:rsidP="00B5094F">
      <w:pPr>
        <w:jc w:val="both"/>
        <w:rPr>
          <w:rFonts w:ascii="Arial" w:hAnsi="Arial"/>
          <w:sz w:val="22"/>
        </w:rPr>
      </w:pPr>
      <w:r>
        <w:rPr>
          <w:rFonts w:ascii="Arial" w:hAnsi="Arial"/>
          <w:sz w:val="22"/>
        </w:rPr>
        <w:t>7.  Warehouses.</w:t>
      </w:r>
    </w:p>
    <w:p w:rsidR="00B5094F" w:rsidRDefault="00B5094F" w:rsidP="00B5094F">
      <w:pPr>
        <w:jc w:val="both"/>
        <w:rPr>
          <w:rFonts w:ascii="Arial" w:hAnsi="Arial"/>
          <w:sz w:val="22"/>
        </w:rPr>
      </w:pPr>
    </w:p>
    <w:p w:rsidR="00B5094F" w:rsidRDefault="00B5094F" w:rsidP="00B5094F">
      <w:pPr>
        <w:pStyle w:val="BodyText"/>
        <w:tabs>
          <w:tab w:val="left" w:pos="0"/>
        </w:tabs>
      </w:pPr>
      <w:r>
        <w:t>8.  Businesses providing services to industries and business such as:  repair, technical or facility maintenance services.</w:t>
      </w:r>
    </w:p>
    <w:p w:rsidR="00B5094F" w:rsidRDefault="00B5094F" w:rsidP="00B5094F">
      <w:pPr>
        <w:jc w:val="both"/>
        <w:rPr>
          <w:rFonts w:ascii="Arial" w:hAnsi="Arial"/>
          <w:sz w:val="22"/>
        </w:rPr>
      </w:pPr>
    </w:p>
    <w:p w:rsidR="00B5094F" w:rsidRDefault="00B5094F" w:rsidP="00B5094F">
      <w:pPr>
        <w:jc w:val="both"/>
        <w:rPr>
          <w:rFonts w:ascii="Arial" w:hAnsi="Arial"/>
          <w:sz w:val="22"/>
        </w:rPr>
      </w:pPr>
      <w:r>
        <w:rPr>
          <w:rFonts w:ascii="Arial" w:hAnsi="Arial"/>
          <w:sz w:val="22"/>
        </w:rPr>
        <w:t>9.  Accessory uses and structures incidental to the above-mentioned uses.</w:t>
      </w:r>
    </w:p>
    <w:p w:rsidR="00B5094F" w:rsidRDefault="00B5094F" w:rsidP="00B5094F">
      <w:pPr>
        <w:outlineLvl w:val="1"/>
        <w:rPr>
          <w:rFonts w:ascii="Arial" w:hAnsi="Arial"/>
          <w:sz w:val="22"/>
          <w:u w:val="single"/>
        </w:rPr>
      </w:pPr>
    </w:p>
    <w:p w:rsidR="00D416C0" w:rsidRDefault="00D416C0" w:rsidP="00D416C0">
      <w:pPr>
        <w:pStyle w:val="BodyTextIndent2"/>
        <w:spacing w:after="0" w:line="240" w:lineRule="auto"/>
        <w:ind w:left="0"/>
        <w:rPr>
          <w:rFonts w:ascii="Arial" w:hAnsi="Arial" w:cs="Arial"/>
          <w:sz w:val="16"/>
        </w:rPr>
      </w:pPr>
      <w:r>
        <w:rPr>
          <w:rFonts w:ascii="Arial" w:hAnsi="Arial" w:cs="Arial"/>
          <w:sz w:val="22"/>
          <w:szCs w:val="22"/>
        </w:rPr>
        <w:t xml:space="preserve">10.  </w:t>
      </w:r>
      <w:r w:rsidRPr="00D416C0">
        <w:rPr>
          <w:rFonts w:ascii="Arial" w:hAnsi="Arial" w:cs="Arial"/>
          <w:sz w:val="22"/>
          <w:szCs w:val="22"/>
        </w:rPr>
        <w:t>Home-based businesses</w:t>
      </w:r>
      <w:r w:rsidR="00B04466">
        <w:rPr>
          <w:rFonts w:ascii="Arial" w:hAnsi="Arial" w:cs="Arial"/>
          <w:sz w:val="22"/>
          <w:szCs w:val="22"/>
        </w:rPr>
        <w:t xml:space="preserve"> (when a residence has been allowed by conditional use in a particular LI zone) utilizing only those accessory buildings and structures permitted under this chapter, and which from the premises’ property line cannot be seen or heard or felt or smelled and will not have customer visits. </w:t>
      </w:r>
      <w:r w:rsidRPr="00D416C0">
        <w:rPr>
          <w:rFonts w:ascii="Arial" w:hAnsi="Arial" w:cs="Arial"/>
          <w:sz w:val="22"/>
          <w:szCs w:val="22"/>
        </w:rPr>
        <w:t xml:space="preserve"> (For more information on home-based businesses permitting, see Chapter 19.56.)</w:t>
      </w:r>
      <w:r w:rsidR="007972A9">
        <w:rPr>
          <w:rFonts w:ascii="Arial" w:hAnsi="Arial" w:cs="Arial"/>
          <w:sz w:val="22"/>
          <w:szCs w:val="22"/>
        </w:rPr>
        <w:t xml:space="preserve">  </w:t>
      </w:r>
      <w:r w:rsidR="007972A9" w:rsidRPr="00B5094F">
        <w:rPr>
          <w:rFonts w:ascii="Arial" w:hAnsi="Arial" w:cs="Arial"/>
          <w:sz w:val="16"/>
        </w:rPr>
        <w:t>(Revised April 21, 2008; Resolution No. 068024)</w:t>
      </w:r>
      <w:r w:rsidR="00702953">
        <w:rPr>
          <w:rFonts w:ascii="Arial" w:hAnsi="Arial" w:cs="Arial"/>
          <w:sz w:val="16"/>
        </w:rPr>
        <w:t xml:space="preserve"> and revised 10/27/08, Ordinance #068836).</w:t>
      </w:r>
    </w:p>
    <w:p w:rsidR="00D554CB" w:rsidRDefault="00D554CB" w:rsidP="00D416C0">
      <w:pPr>
        <w:pStyle w:val="BodyTextIndent2"/>
        <w:spacing w:after="0" w:line="240" w:lineRule="auto"/>
        <w:ind w:left="0"/>
        <w:rPr>
          <w:rFonts w:ascii="Arial" w:hAnsi="Arial" w:cs="Arial"/>
          <w:sz w:val="16"/>
        </w:rPr>
      </w:pPr>
    </w:p>
    <w:p w:rsidR="00D554CB" w:rsidRPr="00D554CB" w:rsidRDefault="00D554CB" w:rsidP="00D554CB">
      <w:pPr>
        <w:pStyle w:val="BodyTextIndent2"/>
        <w:spacing w:after="0" w:line="240" w:lineRule="auto"/>
        <w:ind w:left="0"/>
        <w:rPr>
          <w:rFonts w:ascii="Arial" w:hAnsi="Arial" w:cs="Arial"/>
        </w:rPr>
      </w:pPr>
      <w:r w:rsidRPr="00D554CB">
        <w:rPr>
          <w:rFonts w:ascii="Arial" w:hAnsi="Arial" w:cs="Arial"/>
          <w:sz w:val="22"/>
          <w:szCs w:val="22"/>
        </w:rPr>
        <w:t xml:space="preserve">11.  </w:t>
      </w:r>
      <w:r w:rsidRPr="00D554CB">
        <w:rPr>
          <w:rFonts w:ascii="Arial" w:hAnsi="Arial"/>
          <w:sz w:val="22"/>
        </w:rPr>
        <w:t>Levels 1, 2 and 3 Electric Vehicle Charging Stations.</w:t>
      </w:r>
      <w:r>
        <w:rPr>
          <w:rFonts w:ascii="Arial" w:hAnsi="Arial"/>
          <w:sz w:val="22"/>
        </w:rPr>
        <w:t xml:space="preserve">  </w:t>
      </w:r>
      <w:r w:rsidRPr="00D554CB">
        <w:rPr>
          <w:rFonts w:ascii="Arial" w:hAnsi="Arial" w:cs="Arial"/>
          <w:sz w:val="16"/>
          <w:szCs w:val="16"/>
        </w:rPr>
        <w:t>(Revised 10/17/11, Ordinance # 072330)</w:t>
      </w:r>
    </w:p>
    <w:p w:rsidR="00D554CB" w:rsidRPr="00D554CB" w:rsidRDefault="00D554CB" w:rsidP="00D554CB">
      <w:pPr>
        <w:pStyle w:val="BodyTextIndent2"/>
        <w:spacing w:after="0" w:line="240" w:lineRule="auto"/>
        <w:ind w:left="0"/>
        <w:rPr>
          <w:rFonts w:ascii="Arial" w:hAnsi="Arial" w:cs="Arial"/>
          <w:sz w:val="22"/>
          <w:szCs w:val="22"/>
        </w:rPr>
      </w:pPr>
    </w:p>
    <w:p w:rsidR="008273DE" w:rsidRDefault="008273DE">
      <w:pPr>
        <w:pStyle w:val="Heading2"/>
      </w:pPr>
      <w:proofErr w:type="gramStart"/>
      <w:r>
        <w:t>Section 19.30.030 - Lot Size Requirements.</w:t>
      </w:r>
      <w:proofErr w:type="gramEnd"/>
    </w:p>
    <w:p w:rsidR="008273DE" w:rsidRDefault="008273DE">
      <w:pPr>
        <w:rPr>
          <w:rFonts w:ascii="Arial" w:hAnsi="Arial"/>
          <w:sz w:val="22"/>
        </w:rPr>
      </w:pPr>
      <w:r>
        <w:rPr>
          <w:rFonts w:ascii="Arial" w:hAnsi="Arial"/>
          <w:sz w:val="22"/>
        </w:rPr>
        <w:t>The minimum lot size for principal uses permitted in this district shall be the minimum necessary to comply with the provisions of this title and the minimum necessary to safely accommodate water supply and, if necessary, on-site sewage disposal systems as approved by the Whitman County Department of Environmental Health.</w:t>
      </w:r>
    </w:p>
    <w:p w:rsidR="008273DE" w:rsidRDefault="008273DE">
      <w:pPr>
        <w:outlineLvl w:val="1"/>
        <w:rPr>
          <w:rFonts w:ascii="Arial" w:hAnsi="Arial"/>
          <w:sz w:val="22"/>
          <w:u w:val="single"/>
        </w:rPr>
      </w:pPr>
    </w:p>
    <w:p w:rsidR="008273DE" w:rsidRDefault="008273DE">
      <w:pPr>
        <w:pStyle w:val="Heading2"/>
      </w:pPr>
      <w:proofErr w:type="gramStart"/>
      <w:r>
        <w:lastRenderedPageBreak/>
        <w:t>Section 19.30.040 - Yard Requirements.</w:t>
      </w:r>
      <w:proofErr w:type="gramEnd"/>
    </w:p>
    <w:p w:rsidR="008273DE" w:rsidRDefault="008273DE">
      <w:pPr>
        <w:rPr>
          <w:rFonts w:ascii="Arial" w:hAnsi="Arial"/>
          <w:sz w:val="22"/>
        </w:rPr>
      </w:pPr>
      <w:r>
        <w:rPr>
          <w:rFonts w:ascii="Arial" w:hAnsi="Arial"/>
          <w:sz w:val="22"/>
        </w:rPr>
        <w:t>1.  The minimum front-yard setback for all principal and accessory uses shall be 35 feet from the public right-of-way.  On corner lots, this setback shall apply to both streets.</w:t>
      </w:r>
    </w:p>
    <w:p w:rsidR="008273DE" w:rsidRDefault="008273DE">
      <w:pPr>
        <w:pStyle w:val="BodyText2"/>
      </w:pPr>
      <w:r>
        <w:t xml:space="preserve">2.  Minimum side and rear yard setbacks for all principal and accessory uses shall be 10 feet.  For antenna support structures the side and rear setbacks shall be 20 feet, and for their accessory structures, shall be 5 feet.  </w:t>
      </w:r>
      <w:r>
        <w:rPr>
          <w:sz w:val="16"/>
        </w:rPr>
        <w:t xml:space="preserve">(Revised 5/14/01, Ordinance # 058050)  </w:t>
      </w:r>
    </w:p>
    <w:p w:rsidR="008273DE" w:rsidRDefault="008273DE">
      <w:pPr>
        <w:pStyle w:val="Heading2"/>
      </w:pPr>
      <w:proofErr w:type="gramStart"/>
      <w:r>
        <w:t>Section 19.30.050 - Height of Buildings.</w:t>
      </w:r>
      <w:proofErr w:type="gramEnd"/>
    </w:p>
    <w:p w:rsidR="008273DE" w:rsidRDefault="008273DE">
      <w:pPr>
        <w:pStyle w:val="BodyText2"/>
        <w:rPr>
          <w:u w:val="single"/>
        </w:rPr>
      </w:pPr>
      <w:proofErr w:type="gramStart"/>
      <w:r>
        <w:t>40 feet excepting grain storage facilities.</w:t>
      </w:r>
      <w:proofErr w:type="gramEnd"/>
      <w:r>
        <w:t xml:space="preserve">  Antenna support structures shall not exceed 350 feet.  </w:t>
      </w:r>
      <w:r>
        <w:rPr>
          <w:sz w:val="16"/>
        </w:rPr>
        <w:t xml:space="preserve">(Revised 5/14/01, Ordinance # 058050)  </w:t>
      </w:r>
    </w:p>
    <w:p w:rsidR="008273DE" w:rsidRDefault="008273DE">
      <w:pPr>
        <w:pStyle w:val="Heading2"/>
      </w:pPr>
    </w:p>
    <w:p w:rsidR="008273DE" w:rsidRDefault="008273DE">
      <w:pPr>
        <w:pStyle w:val="Heading2"/>
      </w:pPr>
      <w:proofErr w:type="gramStart"/>
      <w:r>
        <w:t>Section 19.30.060 - Approach Requirements.</w:t>
      </w:r>
      <w:proofErr w:type="gramEnd"/>
    </w:p>
    <w:p w:rsidR="008273DE" w:rsidRDefault="008273DE">
      <w:pPr>
        <w:rPr>
          <w:rFonts w:ascii="Arial" w:hAnsi="Arial"/>
          <w:sz w:val="22"/>
        </w:rPr>
      </w:pPr>
      <w:r>
        <w:rPr>
          <w:rFonts w:ascii="Arial" w:hAnsi="Arial"/>
          <w:sz w:val="22"/>
        </w:rPr>
        <w:t>1.  All new light industrial uses shall have direct access to a Class I-IV road as defined in the Comprehensive Plan.  Access may be shared with adjacent commercial uses.</w:t>
      </w:r>
    </w:p>
    <w:p w:rsidR="008273DE" w:rsidRDefault="008273DE">
      <w:pPr>
        <w:rPr>
          <w:rFonts w:ascii="Arial" w:hAnsi="Arial"/>
          <w:sz w:val="22"/>
        </w:rPr>
      </w:pPr>
    </w:p>
    <w:p w:rsidR="008273DE" w:rsidRDefault="008273DE">
      <w:pPr>
        <w:rPr>
          <w:rFonts w:ascii="Arial" w:hAnsi="Arial"/>
          <w:sz w:val="22"/>
        </w:rPr>
      </w:pPr>
      <w:r>
        <w:rPr>
          <w:rFonts w:ascii="Arial" w:hAnsi="Arial"/>
          <w:sz w:val="22"/>
        </w:rPr>
        <w:t>2.  Access shall be designed to Whitman County standards.</w:t>
      </w:r>
    </w:p>
    <w:p w:rsidR="008273DE" w:rsidRDefault="008273DE">
      <w:pPr>
        <w:outlineLvl w:val="1"/>
        <w:rPr>
          <w:rFonts w:ascii="Arial" w:hAnsi="Arial"/>
          <w:sz w:val="22"/>
          <w:u w:val="single"/>
        </w:rPr>
      </w:pPr>
    </w:p>
    <w:p w:rsidR="008273DE" w:rsidRDefault="008273DE">
      <w:pPr>
        <w:outlineLvl w:val="1"/>
        <w:rPr>
          <w:rFonts w:ascii="Arial" w:hAnsi="Arial"/>
          <w:sz w:val="22"/>
        </w:rPr>
      </w:pPr>
      <w:r>
        <w:rPr>
          <w:rFonts w:ascii="Arial" w:hAnsi="Arial"/>
          <w:sz w:val="22"/>
        </w:rPr>
        <w:t>3.  A complete Level of Service (LOS) traffic and heavy vehicle weight analysis shall be submitted to and approved by the County Engineer for each proposed development prior to issuance of any permit and/or approval.  If a development will cause the LOS on a County road to fall below adopted standards, the development shall be denied unless and until improvements can be made to support the development.  Anticipated damage shall be mitigated according to Whitman County Development Standards in effect on the date of the damage.  If no Development Standards are in effect, the anticipated impact to the LOS shall be mitigated at the direction of the County Engineer.</w:t>
      </w:r>
    </w:p>
    <w:p w:rsidR="008273DE" w:rsidRDefault="008273DE">
      <w:pPr>
        <w:outlineLvl w:val="1"/>
        <w:rPr>
          <w:rFonts w:ascii="Arial" w:hAnsi="Arial"/>
          <w:sz w:val="22"/>
        </w:rPr>
      </w:pPr>
    </w:p>
    <w:p w:rsidR="008273DE" w:rsidRDefault="008273DE">
      <w:pPr>
        <w:pStyle w:val="BodyText2"/>
        <w:outlineLvl w:val="1"/>
      </w:pPr>
      <w:r>
        <w:t>4.  No person shall create any access without first obtaining an approach permit and meeting the approach general provisions.</w:t>
      </w:r>
    </w:p>
    <w:p w:rsidR="008273DE" w:rsidRDefault="008273DE">
      <w:pPr>
        <w:outlineLvl w:val="1"/>
        <w:rPr>
          <w:rFonts w:ascii="Arial" w:hAnsi="Arial"/>
          <w:sz w:val="22"/>
        </w:rPr>
      </w:pPr>
    </w:p>
    <w:p w:rsidR="008273DE" w:rsidRDefault="008273DE">
      <w:pPr>
        <w:outlineLvl w:val="1"/>
        <w:rPr>
          <w:rFonts w:ascii="Arial" w:hAnsi="Arial"/>
          <w:sz w:val="22"/>
        </w:rPr>
      </w:pPr>
      <w:r>
        <w:rPr>
          <w:rFonts w:ascii="Arial" w:hAnsi="Arial"/>
          <w:sz w:val="22"/>
        </w:rPr>
        <w:t xml:space="preserve">5.  Compliance with </w:t>
      </w:r>
      <w:r>
        <w:rPr>
          <w:rFonts w:ascii="Arial" w:hAnsi="Arial"/>
          <w:sz w:val="22"/>
          <w:u w:val="single"/>
        </w:rPr>
        <w:t>Chapter 19.52 – Transportation</w:t>
      </w:r>
      <w:r>
        <w:rPr>
          <w:rFonts w:ascii="Arial" w:hAnsi="Arial"/>
          <w:sz w:val="22"/>
        </w:rPr>
        <w:t xml:space="preserve"> shall be completed prior to issuance of permits.  </w:t>
      </w:r>
      <w:r w:rsidRPr="00145A2E">
        <w:rPr>
          <w:rFonts w:ascii="Arial" w:hAnsi="Arial" w:cs="Arial"/>
          <w:sz w:val="16"/>
        </w:rPr>
        <w:t>(This section was revised 10/15/01, Ordinance # 058775)</w:t>
      </w:r>
      <w:r>
        <w:rPr>
          <w:rFonts w:ascii="Arial" w:hAnsi="Arial"/>
          <w:sz w:val="22"/>
        </w:rPr>
        <w:t xml:space="preserve"> </w:t>
      </w:r>
    </w:p>
    <w:p w:rsidR="008273DE" w:rsidRDefault="008273DE">
      <w:pPr>
        <w:pStyle w:val="Heading2"/>
      </w:pPr>
    </w:p>
    <w:p w:rsidR="008273DE" w:rsidRDefault="008273DE">
      <w:pPr>
        <w:pStyle w:val="Heading2"/>
      </w:pPr>
      <w:proofErr w:type="gramStart"/>
      <w:r>
        <w:t>Section 19.30.070 - Screening &amp; Maintenance Requirements.</w:t>
      </w:r>
      <w:proofErr w:type="gramEnd"/>
    </w:p>
    <w:p w:rsidR="008273DE" w:rsidRDefault="008273DE">
      <w:pPr>
        <w:rPr>
          <w:rFonts w:ascii="Arial" w:hAnsi="Arial"/>
          <w:sz w:val="22"/>
        </w:rPr>
      </w:pPr>
      <w:r>
        <w:rPr>
          <w:rFonts w:ascii="Arial" w:hAnsi="Arial"/>
          <w:sz w:val="22"/>
        </w:rPr>
        <w:t xml:space="preserve">1.  The purpose of this section is to establish landscape, screening and property maintenance standards to enhance the aesthetic appearance of property throughout the County.  </w:t>
      </w:r>
    </w:p>
    <w:p w:rsidR="008273DE" w:rsidRDefault="008273DE">
      <w:pPr>
        <w:rPr>
          <w:rFonts w:ascii="Arial" w:hAnsi="Arial"/>
          <w:sz w:val="22"/>
        </w:rPr>
      </w:pPr>
    </w:p>
    <w:p w:rsidR="008273DE" w:rsidRDefault="008273DE">
      <w:pPr>
        <w:rPr>
          <w:rFonts w:ascii="Arial" w:hAnsi="Arial"/>
          <w:sz w:val="22"/>
        </w:rPr>
      </w:pPr>
      <w:r>
        <w:rPr>
          <w:rFonts w:ascii="Arial" w:hAnsi="Arial"/>
          <w:sz w:val="22"/>
        </w:rPr>
        <w:t xml:space="preserve">2.  Screening shall provide a filtered view and may be provided by existing vegetation, landscaped areas, including the use of </w:t>
      </w:r>
      <w:proofErr w:type="spellStart"/>
      <w:r>
        <w:rPr>
          <w:rFonts w:ascii="Arial" w:hAnsi="Arial"/>
          <w:sz w:val="22"/>
        </w:rPr>
        <w:t>berms</w:t>
      </w:r>
      <w:proofErr w:type="spellEnd"/>
      <w:r>
        <w:rPr>
          <w:rFonts w:ascii="Arial" w:hAnsi="Arial"/>
          <w:sz w:val="22"/>
        </w:rPr>
        <w:t xml:space="preserve">, fencing, trees and shrubs or a combination thereof.  The use of drought tolerant vegetation is encouraged.  </w:t>
      </w:r>
    </w:p>
    <w:p w:rsidR="008273DE" w:rsidRDefault="008273DE">
      <w:pPr>
        <w:pStyle w:val="BodyText"/>
      </w:pPr>
    </w:p>
    <w:p w:rsidR="008273DE" w:rsidRDefault="008273DE">
      <w:pPr>
        <w:pStyle w:val="BodyText"/>
      </w:pPr>
      <w:r>
        <w:t xml:space="preserve">3.  Perimeter screening shall be provided as follows:  </w:t>
      </w:r>
    </w:p>
    <w:p w:rsidR="008273DE" w:rsidRDefault="008273DE">
      <w:pPr>
        <w:outlineLvl w:val="1"/>
        <w:rPr>
          <w:rFonts w:ascii="Arial" w:hAnsi="Arial"/>
          <w:sz w:val="22"/>
        </w:rPr>
      </w:pPr>
      <w:r>
        <w:rPr>
          <w:rFonts w:ascii="Arial" w:hAnsi="Arial"/>
          <w:sz w:val="22"/>
        </w:rPr>
        <w:t xml:space="preserve"> </w:t>
      </w:r>
    </w:p>
    <w:p w:rsidR="008273DE" w:rsidRPr="00004CBB" w:rsidRDefault="008273DE" w:rsidP="00004CBB">
      <w:pPr>
        <w:numPr>
          <w:ilvl w:val="0"/>
          <w:numId w:val="6"/>
        </w:numPr>
        <w:outlineLvl w:val="1"/>
        <w:rPr>
          <w:rFonts w:ascii="Arial" w:hAnsi="Arial"/>
          <w:sz w:val="22"/>
        </w:rPr>
      </w:pPr>
      <w:r>
        <w:rPr>
          <w:rFonts w:ascii="Arial" w:hAnsi="Arial"/>
          <w:sz w:val="22"/>
        </w:rPr>
        <w:t xml:space="preserve">At the front, side and rear of all commercial and industrial sites to provide an all season visual separation between adjacent </w:t>
      </w:r>
      <w:proofErr w:type="gramStart"/>
      <w:r>
        <w:rPr>
          <w:rFonts w:ascii="Arial" w:hAnsi="Arial"/>
          <w:sz w:val="22"/>
        </w:rPr>
        <w:t>land</w:t>
      </w:r>
      <w:proofErr w:type="gramEnd"/>
      <w:r>
        <w:rPr>
          <w:rFonts w:ascii="Arial" w:hAnsi="Arial"/>
          <w:sz w:val="22"/>
        </w:rPr>
        <w:t xml:space="preserve"> uses.  Perimeter landscaping shall shield the views of industrial and commercial land uses, including outdoor storage, service, parking and loading areas, from roads and adjacent uses.  If, however, the rear of the site is adjacent to an agricultural use, no rear yard perimeter screening is required.</w:t>
      </w:r>
    </w:p>
    <w:p w:rsidR="008273DE" w:rsidRDefault="008273DE" w:rsidP="004015F1">
      <w:pPr>
        <w:pStyle w:val="Heading2"/>
        <w:tabs>
          <w:tab w:val="left" w:pos="1080"/>
        </w:tabs>
        <w:ind w:left="1080" w:hanging="360"/>
        <w:rPr>
          <w:u w:val="none"/>
        </w:rPr>
      </w:pPr>
      <w:proofErr w:type="gramStart"/>
      <w:r>
        <w:rPr>
          <w:u w:val="none"/>
        </w:rPr>
        <w:lastRenderedPageBreak/>
        <w:t>b.  Avoid</w:t>
      </w:r>
      <w:proofErr w:type="gramEnd"/>
      <w:r>
        <w:rPr>
          <w:u w:val="none"/>
        </w:rPr>
        <w:t xml:space="preserve"> obstructing views of crosswalks, intersections and streetlights.</w:t>
      </w:r>
    </w:p>
    <w:p w:rsidR="008273DE" w:rsidRDefault="008273DE">
      <w:pPr>
        <w:pStyle w:val="Heading2"/>
        <w:ind w:left="990" w:hanging="270"/>
        <w:rPr>
          <w:u w:val="none"/>
        </w:rPr>
      </w:pPr>
    </w:p>
    <w:p w:rsidR="008273DE" w:rsidRDefault="008273DE" w:rsidP="004015F1">
      <w:pPr>
        <w:pStyle w:val="Heading2"/>
        <w:ind w:left="1080" w:hanging="360"/>
        <w:rPr>
          <w:u w:val="none"/>
        </w:rPr>
      </w:pPr>
      <w:proofErr w:type="gramStart"/>
      <w:r>
        <w:rPr>
          <w:u w:val="none"/>
        </w:rPr>
        <w:t>c.  In</w:t>
      </w:r>
      <w:proofErr w:type="gramEnd"/>
      <w:r>
        <w:rPr>
          <w:u w:val="none"/>
        </w:rPr>
        <w:t xml:space="preserve"> the case of conditional uses, these screening requirements shall be subject to the decision of the Board of Adjustment, which may adjust the requirements according to the needs of the specific locale.</w:t>
      </w:r>
    </w:p>
    <w:p w:rsidR="008273DE" w:rsidRDefault="008273DE" w:rsidP="004015F1">
      <w:pPr>
        <w:pStyle w:val="Heading2"/>
        <w:ind w:left="1080" w:hanging="360"/>
        <w:rPr>
          <w:u w:val="none"/>
        </w:rPr>
      </w:pPr>
      <w:proofErr w:type="gramStart"/>
      <w:r>
        <w:rPr>
          <w:u w:val="none"/>
        </w:rPr>
        <w:t>d.  All</w:t>
      </w:r>
      <w:proofErr w:type="gramEnd"/>
      <w:r>
        <w:rPr>
          <w:u w:val="none"/>
        </w:rPr>
        <w:t xml:space="preserve"> yards shall be maintained such that there will be no accumulation of silt, </w:t>
      </w:r>
      <w:r w:rsidR="004015F1">
        <w:rPr>
          <w:u w:val="none"/>
        </w:rPr>
        <w:t xml:space="preserve"> </w:t>
      </w:r>
      <w:r>
        <w:rPr>
          <w:u w:val="none"/>
        </w:rPr>
        <w:t>mud or standing water causing unsightly or hazardous conditions either within the yard or on adjacent properties</w:t>
      </w:r>
    </w:p>
    <w:p w:rsidR="008273DE" w:rsidRDefault="008273DE">
      <w:pPr>
        <w:ind w:left="990" w:hanging="270"/>
        <w:rPr>
          <w:rFonts w:ascii="Arial" w:hAnsi="Arial"/>
          <w:sz w:val="22"/>
        </w:rPr>
      </w:pPr>
    </w:p>
    <w:p w:rsidR="008273DE" w:rsidRDefault="008273DE" w:rsidP="004015F1">
      <w:pPr>
        <w:ind w:left="1080" w:hanging="360"/>
        <w:rPr>
          <w:rFonts w:ascii="Arial" w:hAnsi="Arial"/>
          <w:sz w:val="22"/>
        </w:rPr>
      </w:pPr>
      <w:r>
        <w:rPr>
          <w:rFonts w:ascii="Arial" w:hAnsi="Arial"/>
          <w:sz w:val="22"/>
        </w:rPr>
        <w:t xml:space="preserve">e. </w:t>
      </w:r>
      <w:r w:rsidR="004015F1">
        <w:rPr>
          <w:rFonts w:ascii="Arial" w:hAnsi="Arial"/>
          <w:sz w:val="22"/>
        </w:rPr>
        <w:t xml:space="preserve">  </w:t>
      </w:r>
      <w:r>
        <w:rPr>
          <w:rFonts w:ascii="Arial" w:hAnsi="Arial"/>
          <w:sz w:val="22"/>
        </w:rPr>
        <w:t>All yards and buildings shall be maintained in a neat, tidy manner, including trimming and upkeep of all landscaped areas, and the removal of debris and unsightly objects.</w:t>
      </w:r>
    </w:p>
    <w:p w:rsidR="008273DE" w:rsidRDefault="008273DE">
      <w:pPr>
        <w:ind w:left="720"/>
      </w:pPr>
    </w:p>
    <w:p w:rsidR="008273DE" w:rsidRDefault="004015F1" w:rsidP="004015F1">
      <w:pPr>
        <w:pStyle w:val="Heading2"/>
        <w:ind w:left="1080" w:hanging="360"/>
        <w:rPr>
          <w:u w:val="none"/>
        </w:rPr>
      </w:pPr>
      <w:r>
        <w:rPr>
          <w:u w:val="none"/>
        </w:rPr>
        <w:t xml:space="preserve">f.  </w:t>
      </w:r>
      <w:r w:rsidR="008273DE">
        <w:rPr>
          <w:u w:val="none"/>
        </w:rPr>
        <w:t xml:space="preserve">All undeveloped land areas shall be maintained in permanent vegetative cover, farmed, or be landscaped with an approved combination of materials to control runoff.  </w:t>
      </w:r>
      <w:r w:rsidR="008273DE">
        <w:rPr>
          <w:sz w:val="16"/>
          <w:u w:val="none"/>
        </w:rPr>
        <w:t>(This section was revised 3/24/03, Ordinance # 060953)</w:t>
      </w:r>
    </w:p>
    <w:p w:rsidR="008273DE" w:rsidRDefault="008273DE">
      <w:pPr>
        <w:pStyle w:val="Heading2"/>
      </w:pPr>
    </w:p>
    <w:p w:rsidR="008273DE" w:rsidRDefault="008273DE">
      <w:pPr>
        <w:pStyle w:val="Heading2"/>
      </w:pPr>
      <w:proofErr w:type="gramStart"/>
      <w:r>
        <w:t>Section 19.30.080 - Conditional Uses</w:t>
      </w:r>
      <w:r w:rsidR="0084642E">
        <w:rPr>
          <w:b/>
        </w:rPr>
        <w:t xml:space="preserve"> </w:t>
      </w:r>
      <w:r w:rsidR="0084642E" w:rsidRPr="00985F43">
        <w:t>and Administrative Permits</w:t>
      </w:r>
      <w:r>
        <w:t>.</w:t>
      </w:r>
      <w:proofErr w:type="gramEnd"/>
    </w:p>
    <w:p w:rsidR="008273DE" w:rsidRDefault="008273DE">
      <w:pPr>
        <w:rPr>
          <w:rFonts w:ascii="Arial" w:hAnsi="Arial"/>
          <w:sz w:val="22"/>
        </w:rPr>
      </w:pPr>
      <w:r>
        <w:rPr>
          <w:rFonts w:ascii="Arial" w:hAnsi="Arial"/>
          <w:sz w:val="22"/>
        </w:rPr>
        <w:t>1.  Because of considerations of traffic, noise, lighting, hazards, health and environmental issues, the following uses shall not be permitted in the Light Industrial District unless a conditional use permit authorizing such use has been granted by the Board of Adjustment; provided, however, that in situations described herein where an Administrative Use Permit may be granted in lieu of a Conditional Use Permit, the use of the land shall not be permitted until such time as an Administrative Use permit has been granted by the County Planning Office.</w:t>
      </w:r>
    </w:p>
    <w:p w:rsidR="008273DE" w:rsidRDefault="008273DE">
      <w:pPr>
        <w:rPr>
          <w:rFonts w:ascii="Arial" w:hAnsi="Arial"/>
          <w:sz w:val="22"/>
        </w:rPr>
      </w:pPr>
    </w:p>
    <w:p w:rsidR="008273DE" w:rsidRDefault="008273DE">
      <w:pPr>
        <w:ind w:left="1080" w:hanging="360"/>
        <w:rPr>
          <w:rFonts w:ascii="Arial" w:hAnsi="Arial"/>
          <w:sz w:val="22"/>
        </w:rPr>
      </w:pPr>
      <w:r>
        <w:rPr>
          <w:rFonts w:ascii="Arial" w:hAnsi="Arial"/>
          <w:sz w:val="22"/>
        </w:rPr>
        <w:t xml:space="preserve">a.  </w:t>
      </w:r>
      <w:r w:rsidR="004015F1">
        <w:rPr>
          <w:rFonts w:ascii="Arial" w:hAnsi="Arial"/>
          <w:sz w:val="22"/>
        </w:rPr>
        <w:t xml:space="preserve"> </w:t>
      </w:r>
      <w:r>
        <w:rPr>
          <w:rFonts w:ascii="Arial" w:hAnsi="Arial"/>
          <w:sz w:val="22"/>
        </w:rPr>
        <w:t>One single-family dwelling unit or mobile home to be occupied by an employee or owner of a permitted use.</w:t>
      </w:r>
    </w:p>
    <w:p w:rsidR="008273DE" w:rsidRDefault="008273DE">
      <w:pPr>
        <w:rPr>
          <w:rFonts w:ascii="Arial" w:hAnsi="Arial"/>
          <w:sz w:val="22"/>
        </w:rPr>
      </w:pPr>
    </w:p>
    <w:p w:rsidR="008273DE" w:rsidRDefault="008273DE">
      <w:pPr>
        <w:ind w:left="990" w:hanging="270"/>
        <w:rPr>
          <w:rFonts w:ascii="Arial" w:hAnsi="Arial"/>
          <w:sz w:val="16"/>
        </w:rPr>
      </w:pPr>
      <w:r>
        <w:rPr>
          <w:rFonts w:ascii="Arial" w:hAnsi="Arial"/>
          <w:sz w:val="22"/>
        </w:rPr>
        <w:t xml:space="preserve">b.  </w:t>
      </w:r>
      <w:r w:rsidR="004015F1">
        <w:rPr>
          <w:rFonts w:ascii="Arial" w:hAnsi="Arial"/>
          <w:sz w:val="22"/>
        </w:rPr>
        <w:t xml:space="preserve"> </w:t>
      </w:r>
      <w:r>
        <w:rPr>
          <w:rFonts w:ascii="Arial" w:hAnsi="Arial"/>
          <w:sz w:val="22"/>
        </w:rPr>
        <w:t xml:space="preserve">Eating establishments.  </w:t>
      </w:r>
      <w:r>
        <w:rPr>
          <w:rFonts w:ascii="Arial" w:hAnsi="Arial"/>
          <w:sz w:val="16"/>
        </w:rPr>
        <w:t>(Revised 3/24/03, Ordinance # 060953)</w:t>
      </w:r>
    </w:p>
    <w:p w:rsidR="008273DE" w:rsidRDefault="008273DE">
      <w:pPr>
        <w:rPr>
          <w:rFonts w:ascii="Arial" w:hAnsi="Arial"/>
          <w:sz w:val="22"/>
        </w:rPr>
      </w:pPr>
    </w:p>
    <w:p w:rsidR="008273DE" w:rsidRDefault="008273DE">
      <w:pPr>
        <w:ind w:firstLine="720"/>
        <w:rPr>
          <w:rFonts w:ascii="Arial" w:hAnsi="Arial"/>
          <w:sz w:val="22"/>
        </w:rPr>
      </w:pPr>
      <w:r>
        <w:rPr>
          <w:rFonts w:ascii="Arial" w:hAnsi="Arial"/>
          <w:sz w:val="22"/>
        </w:rPr>
        <w:t xml:space="preserve">c.  </w:t>
      </w:r>
      <w:r w:rsidR="004015F1">
        <w:rPr>
          <w:rFonts w:ascii="Arial" w:hAnsi="Arial"/>
          <w:sz w:val="22"/>
        </w:rPr>
        <w:t xml:space="preserve"> </w:t>
      </w:r>
      <w:r>
        <w:rPr>
          <w:rFonts w:ascii="Arial" w:hAnsi="Arial"/>
          <w:sz w:val="22"/>
        </w:rPr>
        <w:t xml:space="preserve">Retail sales incidental to the permitted uses.  </w:t>
      </w:r>
      <w:r>
        <w:rPr>
          <w:rFonts w:ascii="Arial" w:hAnsi="Arial"/>
          <w:sz w:val="16"/>
        </w:rPr>
        <w:t>(Revised 3/24/03, Ordinance # 060953)</w:t>
      </w:r>
      <w:r>
        <w:rPr>
          <w:rFonts w:ascii="Arial" w:hAnsi="Arial"/>
          <w:sz w:val="22"/>
        </w:rPr>
        <w:t xml:space="preserve">  </w:t>
      </w:r>
    </w:p>
    <w:p w:rsidR="008273DE" w:rsidRDefault="008273DE">
      <w:pPr>
        <w:ind w:firstLine="720"/>
        <w:rPr>
          <w:rFonts w:ascii="Arial" w:hAnsi="Arial"/>
          <w:sz w:val="22"/>
        </w:rPr>
      </w:pPr>
    </w:p>
    <w:p w:rsidR="008273DE" w:rsidRDefault="008273DE">
      <w:pPr>
        <w:ind w:firstLine="720"/>
        <w:rPr>
          <w:rFonts w:ascii="Arial" w:hAnsi="Arial"/>
          <w:sz w:val="22"/>
        </w:rPr>
      </w:pPr>
      <w:r>
        <w:rPr>
          <w:rFonts w:ascii="Arial" w:hAnsi="Arial"/>
          <w:sz w:val="22"/>
        </w:rPr>
        <w:t xml:space="preserve">d.  </w:t>
      </w:r>
      <w:r w:rsidR="004015F1">
        <w:rPr>
          <w:rFonts w:ascii="Arial" w:hAnsi="Arial"/>
          <w:sz w:val="22"/>
        </w:rPr>
        <w:t xml:space="preserve"> </w:t>
      </w:r>
      <w:r>
        <w:rPr>
          <w:rFonts w:ascii="Arial" w:hAnsi="Arial"/>
          <w:sz w:val="22"/>
        </w:rPr>
        <w:t>Public facilities, such as utility substations and storage yards.</w:t>
      </w:r>
    </w:p>
    <w:p w:rsidR="008273DE" w:rsidRDefault="008273DE">
      <w:pPr>
        <w:rPr>
          <w:rFonts w:ascii="Arial" w:hAnsi="Arial"/>
          <w:sz w:val="22"/>
        </w:rPr>
      </w:pPr>
    </w:p>
    <w:p w:rsidR="008273DE" w:rsidRDefault="008273DE">
      <w:pPr>
        <w:ind w:firstLine="720"/>
        <w:rPr>
          <w:rFonts w:ascii="Arial" w:hAnsi="Arial"/>
          <w:sz w:val="22"/>
        </w:rPr>
      </w:pPr>
      <w:r>
        <w:rPr>
          <w:rFonts w:ascii="Arial" w:hAnsi="Arial"/>
          <w:sz w:val="22"/>
        </w:rPr>
        <w:t xml:space="preserve">e.  </w:t>
      </w:r>
      <w:r w:rsidR="004015F1">
        <w:rPr>
          <w:rFonts w:ascii="Arial" w:hAnsi="Arial"/>
          <w:sz w:val="22"/>
        </w:rPr>
        <w:t xml:space="preserve"> </w:t>
      </w:r>
      <w:r>
        <w:rPr>
          <w:rFonts w:ascii="Arial" w:hAnsi="Arial"/>
          <w:sz w:val="22"/>
        </w:rPr>
        <w:t>Agricultural uses.</w:t>
      </w:r>
    </w:p>
    <w:p w:rsidR="008273DE" w:rsidRDefault="008273DE">
      <w:pPr>
        <w:pStyle w:val="BodyText2"/>
      </w:pPr>
      <w:r>
        <w:t xml:space="preserve">  </w:t>
      </w:r>
    </w:p>
    <w:p w:rsidR="008273DE" w:rsidRDefault="008273DE" w:rsidP="004015F1">
      <w:pPr>
        <w:ind w:left="1080" w:hanging="360"/>
        <w:rPr>
          <w:rFonts w:ascii="Arial" w:hAnsi="Arial"/>
          <w:sz w:val="22"/>
        </w:rPr>
      </w:pPr>
      <w:r>
        <w:rPr>
          <w:rFonts w:ascii="Arial" w:hAnsi="Arial"/>
          <w:sz w:val="22"/>
        </w:rPr>
        <w:t xml:space="preserve">f.  </w:t>
      </w:r>
      <w:r w:rsidR="004015F1">
        <w:rPr>
          <w:rFonts w:ascii="Arial" w:hAnsi="Arial"/>
          <w:sz w:val="22"/>
        </w:rPr>
        <w:t xml:space="preserve">  </w:t>
      </w:r>
      <w:r>
        <w:rPr>
          <w:rFonts w:ascii="Arial" w:hAnsi="Arial"/>
          <w:sz w:val="22"/>
        </w:rPr>
        <w:t xml:space="preserve">Inert materials (earth, concrete and asphalt) of more than 2,000 cubic yards </w:t>
      </w:r>
      <w:proofErr w:type="gramStart"/>
      <w:r>
        <w:rPr>
          <w:rFonts w:ascii="Arial" w:hAnsi="Arial"/>
          <w:sz w:val="22"/>
        </w:rPr>
        <w:t xml:space="preserve">of </w:t>
      </w:r>
      <w:r w:rsidR="004015F1">
        <w:rPr>
          <w:rFonts w:ascii="Arial" w:hAnsi="Arial"/>
          <w:sz w:val="22"/>
        </w:rPr>
        <w:t xml:space="preserve"> </w:t>
      </w:r>
      <w:r>
        <w:rPr>
          <w:rFonts w:ascii="Arial" w:hAnsi="Arial"/>
          <w:sz w:val="22"/>
        </w:rPr>
        <w:t>material</w:t>
      </w:r>
      <w:proofErr w:type="gramEnd"/>
      <w:r>
        <w:rPr>
          <w:rFonts w:ascii="Arial" w:hAnsi="Arial"/>
          <w:sz w:val="22"/>
        </w:rPr>
        <w:t xml:space="preserve">, excepting fill materials designed within reclamation plans of permitted quarries and/or mines.  [For earth fills less than 2,000 cubic yards, see </w:t>
      </w:r>
      <w:r>
        <w:rPr>
          <w:rFonts w:ascii="Arial" w:hAnsi="Arial"/>
          <w:sz w:val="22"/>
          <w:u w:val="words"/>
        </w:rPr>
        <w:t>Section 19.05.020(4)];</w:t>
      </w:r>
    </w:p>
    <w:p w:rsidR="008273DE" w:rsidRDefault="008273DE">
      <w:pPr>
        <w:rPr>
          <w:rFonts w:ascii="Arial" w:hAnsi="Arial"/>
          <w:sz w:val="22"/>
        </w:rPr>
      </w:pPr>
    </w:p>
    <w:p w:rsidR="008273DE" w:rsidRDefault="008273DE" w:rsidP="0077533E">
      <w:pPr>
        <w:ind w:left="1080" w:hanging="360"/>
        <w:rPr>
          <w:rFonts w:ascii="Arial" w:hAnsi="Arial"/>
          <w:sz w:val="22"/>
        </w:rPr>
      </w:pPr>
      <w:r>
        <w:rPr>
          <w:rFonts w:ascii="Arial" w:hAnsi="Arial"/>
          <w:sz w:val="22"/>
        </w:rPr>
        <w:t xml:space="preserve">g.  </w:t>
      </w:r>
      <w:r w:rsidR="004015F1">
        <w:rPr>
          <w:rFonts w:ascii="Arial" w:hAnsi="Arial"/>
          <w:sz w:val="22"/>
        </w:rPr>
        <w:t xml:space="preserve"> </w:t>
      </w:r>
      <w:r>
        <w:rPr>
          <w:rFonts w:ascii="Arial" w:hAnsi="Arial"/>
          <w:sz w:val="22"/>
        </w:rPr>
        <w:t xml:space="preserve">Recycling Facility, provided however, that hazardous material, infectious material and/or radioactive material which federal or state regulations would allow to be recycled but which the County may deem to be unsafe or detrimental to public welfare, shall not be allowed without a Conditional Use Permit issued by the Board of Adjustment and a Special Permit issued by the Whitman County Health Department.  Said permits shall establish specific conditions for the processing/handling of the hazardous material, infectious material and/or radioactive material, where the State of Washington or </w:t>
      </w:r>
      <w:proofErr w:type="gramStart"/>
      <w:r>
        <w:rPr>
          <w:rFonts w:ascii="Arial" w:hAnsi="Arial"/>
          <w:sz w:val="22"/>
        </w:rPr>
        <w:t xml:space="preserve">the </w:t>
      </w:r>
      <w:r w:rsidR="0077533E">
        <w:rPr>
          <w:rFonts w:ascii="Arial" w:hAnsi="Arial"/>
          <w:sz w:val="22"/>
        </w:rPr>
        <w:t xml:space="preserve"> </w:t>
      </w:r>
      <w:r>
        <w:rPr>
          <w:rFonts w:ascii="Arial" w:hAnsi="Arial"/>
          <w:sz w:val="22"/>
        </w:rPr>
        <w:lastRenderedPageBreak/>
        <w:t>Federal</w:t>
      </w:r>
      <w:proofErr w:type="gramEnd"/>
      <w:r>
        <w:rPr>
          <w:rFonts w:ascii="Arial" w:hAnsi="Arial"/>
          <w:sz w:val="22"/>
        </w:rPr>
        <w:t xml:space="preserve"> Government has not otherwise preempted all control and regulation of said material.</w:t>
      </w:r>
    </w:p>
    <w:p w:rsidR="008273DE" w:rsidRDefault="008273DE">
      <w:pPr>
        <w:rPr>
          <w:rFonts w:ascii="Arial" w:hAnsi="Arial"/>
          <w:sz w:val="22"/>
        </w:rPr>
      </w:pPr>
    </w:p>
    <w:p w:rsidR="008273DE" w:rsidRDefault="008273DE">
      <w:pPr>
        <w:ind w:firstLine="720"/>
        <w:rPr>
          <w:rFonts w:ascii="Arial" w:hAnsi="Arial"/>
          <w:sz w:val="22"/>
        </w:rPr>
      </w:pPr>
      <w:proofErr w:type="gramStart"/>
      <w:r>
        <w:rPr>
          <w:rFonts w:ascii="Arial" w:hAnsi="Arial"/>
          <w:sz w:val="22"/>
        </w:rPr>
        <w:t>h.  Temporary</w:t>
      </w:r>
      <w:proofErr w:type="gramEnd"/>
      <w:r>
        <w:rPr>
          <w:rFonts w:ascii="Arial" w:hAnsi="Arial"/>
          <w:sz w:val="22"/>
        </w:rPr>
        <w:t xml:space="preserve"> asphalt and concrete batch plants.</w:t>
      </w:r>
    </w:p>
    <w:p w:rsidR="008273DE" w:rsidRDefault="008273DE">
      <w:pPr>
        <w:rPr>
          <w:rFonts w:ascii="Arial" w:hAnsi="Arial"/>
          <w:sz w:val="22"/>
        </w:rPr>
      </w:pPr>
    </w:p>
    <w:p w:rsidR="005E61FC" w:rsidRDefault="0077533E" w:rsidP="0077533E">
      <w:pPr>
        <w:ind w:left="1080" w:hanging="360"/>
        <w:rPr>
          <w:rFonts w:ascii="Arial" w:hAnsi="Arial"/>
          <w:sz w:val="22"/>
        </w:rPr>
      </w:pPr>
      <w:proofErr w:type="spellStart"/>
      <w:r>
        <w:rPr>
          <w:rFonts w:ascii="Arial" w:hAnsi="Arial"/>
          <w:sz w:val="22"/>
        </w:rPr>
        <w:t>i</w:t>
      </w:r>
      <w:proofErr w:type="spellEnd"/>
      <w:r w:rsidR="00FB5333">
        <w:rPr>
          <w:rFonts w:ascii="Arial" w:hAnsi="Arial"/>
          <w:sz w:val="22"/>
        </w:rPr>
        <w:t xml:space="preserve">.  </w:t>
      </w:r>
      <w:r>
        <w:rPr>
          <w:rFonts w:ascii="Arial" w:hAnsi="Arial"/>
          <w:sz w:val="22"/>
        </w:rPr>
        <w:t xml:space="preserve">  </w:t>
      </w:r>
      <w:r w:rsidR="00FB5333">
        <w:rPr>
          <w:rFonts w:ascii="Arial" w:hAnsi="Arial"/>
          <w:sz w:val="22"/>
        </w:rPr>
        <w:t>Home-based businesses that exceed the thre</w:t>
      </w:r>
      <w:r>
        <w:rPr>
          <w:rFonts w:ascii="Arial" w:hAnsi="Arial"/>
          <w:sz w:val="22"/>
        </w:rPr>
        <w:t xml:space="preserve">shold of a permitted use may be </w:t>
      </w:r>
      <w:r w:rsidR="00FB5333">
        <w:rPr>
          <w:rFonts w:ascii="Arial" w:hAnsi="Arial"/>
          <w:sz w:val="22"/>
        </w:rPr>
        <w:t>allowed as a conditional use.  (For more information on home-based businesses permitting, see Chapter 19.56.)</w:t>
      </w:r>
      <w:r w:rsidR="007972A9">
        <w:rPr>
          <w:rFonts w:ascii="Arial" w:hAnsi="Arial"/>
          <w:sz w:val="22"/>
        </w:rPr>
        <w:t xml:space="preserve">  </w:t>
      </w:r>
      <w:r w:rsidR="007972A9" w:rsidRPr="00270687">
        <w:rPr>
          <w:rFonts w:ascii="Arial" w:hAnsi="Arial" w:cs="Arial"/>
          <w:sz w:val="16"/>
        </w:rPr>
        <w:t>(Revised April 21, 2008; Resolution No. 068024)</w:t>
      </w:r>
    </w:p>
    <w:p w:rsidR="008273DE" w:rsidRDefault="008273DE">
      <w:pPr>
        <w:rPr>
          <w:rFonts w:ascii="Arial" w:hAnsi="Arial"/>
          <w:sz w:val="22"/>
        </w:rPr>
      </w:pPr>
    </w:p>
    <w:p w:rsidR="008273DE" w:rsidRDefault="008273DE">
      <w:pPr>
        <w:pStyle w:val="BodyText2"/>
      </w:pPr>
      <w:r>
        <w:t>2.  An Administrative Use Permit shall be required for:</w:t>
      </w:r>
    </w:p>
    <w:p w:rsidR="008273DE" w:rsidRDefault="008273DE">
      <w:pPr>
        <w:ind w:left="-360"/>
        <w:rPr>
          <w:rFonts w:ascii="Arial" w:hAnsi="Arial"/>
          <w:sz w:val="22"/>
        </w:rPr>
      </w:pPr>
    </w:p>
    <w:p w:rsidR="008273DE" w:rsidRDefault="008273DE" w:rsidP="0077533E">
      <w:pPr>
        <w:ind w:left="1080" w:hanging="360"/>
        <w:rPr>
          <w:rFonts w:ascii="Arial" w:hAnsi="Arial"/>
          <w:sz w:val="22"/>
        </w:rPr>
      </w:pPr>
      <w:r>
        <w:rPr>
          <w:rFonts w:ascii="Arial" w:hAnsi="Arial"/>
          <w:sz w:val="22"/>
        </w:rPr>
        <w:t xml:space="preserve">a.  </w:t>
      </w:r>
      <w:r w:rsidR="0077533E">
        <w:rPr>
          <w:rFonts w:ascii="Arial" w:hAnsi="Arial"/>
          <w:sz w:val="22"/>
        </w:rPr>
        <w:t xml:space="preserve"> </w:t>
      </w:r>
      <w:r>
        <w:rPr>
          <w:rFonts w:ascii="Arial" w:hAnsi="Arial"/>
          <w:sz w:val="22"/>
        </w:rPr>
        <w:t xml:space="preserve">Rock crushing and quarrying for the specific purpose of preparing a </w:t>
      </w:r>
      <w:proofErr w:type="gramStart"/>
      <w:r>
        <w:rPr>
          <w:rFonts w:ascii="Arial" w:hAnsi="Arial"/>
          <w:sz w:val="22"/>
        </w:rPr>
        <w:t xml:space="preserve">suitable </w:t>
      </w:r>
      <w:r w:rsidR="0077533E">
        <w:rPr>
          <w:rFonts w:ascii="Arial" w:hAnsi="Arial"/>
          <w:sz w:val="22"/>
        </w:rPr>
        <w:t xml:space="preserve"> </w:t>
      </w:r>
      <w:r>
        <w:rPr>
          <w:rFonts w:ascii="Arial" w:hAnsi="Arial"/>
          <w:sz w:val="22"/>
        </w:rPr>
        <w:t>site</w:t>
      </w:r>
      <w:proofErr w:type="gramEnd"/>
      <w:r>
        <w:rPr>
          <w:rFonts w:ascii="Arial" w:hAnsi="Arial"/>
          <w:sz w:val="22"/>
        </w:rPr>
        <w:t xml:space="preserve"> for construction of a specific building or buildings including access and parking lots, based upon a preliminary site and grading plan subject to the minimum standards of </w:t>
      </w:r>
      <w:r>
        <w:rPr>
          <w:rFonts w:ascii="Arial" w:hAnsi="Arial"/>
          <w:sz w:val="22"/>
          <w:u w:val="words"/>
        </w:rPr>
        <w:t>Section 19.05.015</w:t>
      </w:r>
      <w:r>
        <w:rPr>
          <w:rFonts w:ascii="Arial" w:hAnsi="Arial"/>
          <w:sz w:val="22"/>
        </w:rPr>
        <w:t xml:space="preserve">, </w:t>
      </w:r>
      <w:r>
        <w:rPr>
          <w:rFonts w:ascii="Arial" w:hAnsi="Arial"/>
          <w:sz w:val="22"/>
          <w:u w:val="single"/>
        </w:rPr>
        <w:t>Chapter 19.59 – Surface Mining and Rock Crushing</w:t>
      </w:r>
      <w:r>
        <w:rPr>
          <w:rFonts w:ascii="Arial" w:hAnsi="Arial"/>
          <w:sz w:val="22"/>
          <w:u w:val="words"/>
        </w:rPr>
        <w:t xml:space="preserve"> </w:t>
      </w:r>
      <w:r>
        <w:rPr>
          <w:rFonts w:ascii="Arial" w:hAnsi="Arial"/>
          <w:sz w:val="22"/>
        </w:rPr>
        <w:t xml:space="preserve">and </w:t>
      </w:r>
      <w:r>
        <w:rPr>
          <w:rFonts w:ascii="Arial" w:hAnsi="Arial"/>
          <w:sz w:val="22"/>
          <w:u w:val="single"/>
        </w:rPr>
        <w:t xml:space="preserve">Chapter </w:t>
      </w:r>
      <w:r>
        <w:rPr>
          <w:rFonts w:ascii="Arial" w:hAnsi="Arial"/>
          <w:sz w:val="22"/>
          <w:u w:val="words"/>
        </w:rPr>
        <w:t>19.60</w:t>
      </w:r>
      <w:r>
        <w:rPr>
          <w:rFonts w:ascii="Arial" w:hAnsi="Arial"/>
          <w:sz w:val="22"/>
          <w:u w:val="single"/>
        </w:rPr>
        <w:t xml:space="preserve"> – Blasting or Explosive Demolition</w:t>
      </w:r>
      <w:r>
        <w:rPr>
          <w:rFonts w:ascii="Arial" w:hAnsi="Arial"/>
          <w:sz w:val="22"/>
        </w:rPr>
        <w:t>.</w:t>
      </w:r>
    </w:p>
    <w:p w:rsidR="008273DE" w:rsidRPr="00004CBB" w:rsidRDefault="008273DE">
      <w:pPr>
        <w:rPr>
          <w:rFonts w:ascii="Arial" w:hAnsi="Arial" w:cs="Arial"/>
          <w:sz w:val="16"/>
        </w:rPr>
      </w:pPr>
      <w:r>
        <w:rPr>
          <w:rFonts w:ascii="Arial" w:hAnsi="Arial" w:cs="Arial"/>
          <w:sz w:val="22"/>
        </w:rPr>
        <w:t xml:space="preserve"> </w:t>
      </w:r>
      <w:r>
        <w:rPr>
          <w:rFonts w:ascii="Arial" w:hAnsi="Arial" w:cs="Arial"/>
          <w:sz w:val="22"/>
        </w:rPr>
        <w:tab/>
        <w:t xml:space="preserve">    </w:t>
      </w:r>
      <w:r w:rsidR="00B50E17">
        <w:rPr>
          <w:rFonts w:ascii="Arial" w:hAnsi="Arial" w:cs="Arial"/>
          <w:sz w:val="22"/>
        </w:rPr>
        <w:t xml:space="preserve"> </w:t>
      </w:r>
      <w:r>
        <w:rPr>
          <w:rFonts w:ascii="Arial" w:hAnsi="Arial" w:cs="Arial"/>
          <w:sz w:val="22"/>
        </w:rPr>
        <w:t xml:space="preserve"> </w:t>
      </w:r>
      <w:r w:rsidRPr="00004CBB">
        <w:rPr>
          <w:rFonts w:ascii="Arial" w:hAnsi="Arial" w:cs="Arial"/>
          <w:sz w:val="16"/>
        </w:rPr>
        <w:t>(Revised 3/24/03, Ordinance # 060953)</w:t>
      </w:r>
    </w:p>
    <w:p w:rsidR="00FB5333" w:rsidRDefault="00FB5333">
      <w:pPr>
        <w:rPr>
          <w:sz w:val="16"/>
        </w:rPr>
      </w:pPr>
    </w:p>
    <w:p w:rsidR="00FB5333" w:rsidRPr="0084642E" w:rsidRDefault="00FB5333" w:rsidP="0077533E">
      <w:pPr>
        <w:numPr>
          <w:ilvl w:val="0"/>
          <w:numId w:val="6"/>
        </w:numPr>
        <w:rPr>
          <w:rFonts w:ascii="Arial" w:hAnsi="Arial" w:cs="Arial"/>
          <w:sz w:val="22"/>
        </w:rPr>
      </w:pPr>
      <w:r>
        <w:rPr>
          <w:rFonts w:ascii="Arial" w:hAnsi="Arial" w:cs="Arial"/>
          <w:sz w:val="22"/>
        </w:rPr>
        <w:t>Home-based businesses that exceed the threshold of a permitted use may be allowed as an administrative use.  (For more information on home-based businesses permitting, see Chapter 19.56.)</w:t>
      </w:r>
      <w:r w:rsidR="007972A9">
        <w:rPr>
          <w:rFonts w:ascii="Arial" w:hAnsi="Arial" w:cs="Arial"/>
          <w:sz w:val="22"/>
        </w:rPr>
        <w:t xml:space="preserve">  </w:t>
      </w:r>
      <w:r w:rsidR="007972A9" w:rsidRPr="00004CBB">
        <w:rPr>
          <w:rFonts w:ascii="Arial" w:hAnsi="Arial" w:cs="Arial"/>
          <w:sz w:val="16"/>
        </w:rPr>
        <w:t>(Revised April 21, 2008; Resolution No. 068024)</w:t>
      </w:r>
    </w:p>
    <w:p w:rsidR="0084642E" w:rsidRDefault="0084642E" w:rsidP="0084642E">
      <w:pPr>
        <w:tabs>
          <w:tab w:val="num" w:pos="720"/>
        </w:tabs>
        <w:rPr>
          <w:rFonts w:ascii="Arial" w:hAnsi="Arial"/>
          <w:b/>
          <w:sz w:val="22"/>
          <w:u w:val="single"/>
        </w:rPr>
      </w:pPr>
    </w:p>
    <w:p w:rsidR="000C3103" w:rsidRPr="00EB2652" w:rsidRDefault="0084642E" w:rsidP="004015F1">
      <w:pPr>
        <w:pStyle w:val="BodyText2"/>
        <w:numPr>
          <w:ilvl w:val="0"/>
          <w:numId w:val="6"/>
        </w:numPr>
        <w:rPr>
          <w:rFonts w:cs="Arial"/>
          <w:szCs w:val="22"/>
        </w:rPr>
      </w:pPr>
      <w:r w:rsidRPr="000C3103">
        <w:t>Support structure facilities, (towers and accessories) for antennae and other similar uses greater than forty (</w:t>
      </w:r>
      <w:smartTag w:uri="urn:schemas-microsoft-com:office:cs:smarttags" w:element="NumConv6p0">
        <w:smartTagPr>
          <w:attr w:name="val" w:val="40"/>
          <w:attr w:name="sch" w:val="1"/>
        </w:smartTagPr>
        <w:r w:rsidRPr="000C3103">
          <w:t>40</w:t>
        </w:r>
      </w:smartTag>
      <w:r w:rsidRPr="000C3103">
        <w:t xml:space="preserve">) feet in height subject to the requirements of Section </w:t>
      </w:r>
      <w:smartTag w:uri="urn:schemas-microsoft-com:office:cs:smarttags" w:element="NumConv6p6">
        <w:smartTagPr>
          <w:attr w:name="val" w:val="19.58"/>
          <w:attr w:name="sch" w:val="4"/>
        </w:smartTagPr>
        <w:r w:rsidRPr="000C3103">
          <w:t>19.58</w:t>
        </w:r>
      </w:smartTag>
      <w:r w:rsidRPr="000C3103">
        <w:t xml:space="preserve"> - Communication and Utility Facilities.</w:t>
      </w:r>
      <w:r w:rsidR="000C3103">
        <w:t xml:space="preserve">  </w:t>
      </w:r>
      <w:r w:rsidR="000C3103">
        <w:rPr>
          <w:rFonts w:cs="Arial"/>
          <w:sz w:val="16"/>
          <w:szCs w:val="16"/>
        </w:rPr>
        <w:t>(Revised 2/7/11, Ordinance #071612).</w:t>
      </w:r>
    </w:p>
    <w:p w:rsidR="0084642E" w:rsidRPr="000C3103" w:rsidRDefault="0084642E" w:rsidP="000C3103">
      <w:pPr>
        <w:rPr>
          <w:rFonts w:ascii="Arial" w:hAnsi="Arial" w:cs="Arial"/>
          <w:sz w:val="22"/>
        </w:rPr>
      </w:pPr>
    </w:p>
    <w:p w:rsidR="0084642E" w:rsidRPr="00FB5333" w:rsidRDefault="0084642E" w:rsidP="0084642E">
      <w:pPr>
        <w:ind w:left="1080"/>
        <w:rPr>
          <w:rFonts w:ascii="Arial" w:hAnsi="Arial" w:cs="Arial"/>
          <w:sz w:val="22"/>
        </w:rPr>
      </w:pPr>
    </w:p>
    <w:p w:rsidR="008273DE" w:rsidRDefault="008273DE" w:rsidP="00D64AB4">
      <w:pPr>
        <w:pStyle w:val="Heading2"/>
      </w:pPr>
    </w:p>
    <w:sectPr w:rsidR="008273DE" w:rsidSect="008E5BD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F3" w:rsidRDefault="005566F3">
      <w:r>
        <w:separator/>
      </w:r>
    </w:p>
  </w:endnote>
  <w:endnote w:type="continuationSeparator" w:id="0">
    <w:p w:rsidR="005566F3" w:rsidRDefault="0055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F3" w:rsidRPr="00D421BC" w:rsidRDefault="005566F3">
    <w:pPr>
      <w:pStyle w:val="Footer"/>
      <w:jc w:val="center"/>
    </w:pPr>
    <w:r w:rsidRPr="00D421BC">
      <w:t xml:space="preserve">Page </w:t>
    </w:r>
    <w:fldSimple w:instr=" PAGE ">
      <w:r w:rsidR="00C66784">
        <w:rPr>
          <w:noProof/>
        </w:rPr>
        <w:t>1</w:t>
      </w:r>
    </w:fldSimple>
    <w:r w:rsidRPr="00D421BC">
      <w:t xml:space="preserve"> of </w:t>
    </w:r>
    <w:fldSimple w:instr=" NUMPAGES  ">
      <w:r w:rsidR="00C66784">
        <w:rPr>
          <w:noProof/>
        </w:rPr>
        <w:t>4</w:t>
      </w:r>
    </w:fldSimple>
  </w:p>
  <w:p w:rsidR="005566F3" w:rsidRDefault="005566F3">
    <w:pPr>
      <w:pStyle w:val="Footer"/>
      <w:jc w:val="cente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F3" w:rsidRDefault="005566F3">
      <w:r>
        <w:separator/>
      </w:r>
    </w:p>
  </w:footnote>
  <w:footnote w:type="continuationSeparator" w:id="0">
    <w:p w:rsidR="005566F3" w:rsidRDefault="00556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F3" w:rsidRDefault="005566F3">
    <w:pPr>
      <w:pStyle w:val="Header"/>
      <w:pBdr>
        <w:top w:val="single" w:sz="4" w:space="1" w:color="auto"/>
        <w:left w:val="single" w:sz="4" w:space="4" w:color="auto"/>
        <w:bottom w:val="single" w:sz="4" w:space="1" w:color="auto"/>
        <w:right w:val="single" w:sz="4" w:space="4" w:color="auto"/>
      </w:pBdr>
      <w:jc w:val="center"/>
      <w:rPr>
        <w:rFonts w:ascii="Arial" w:hAnsi="Arial"/>
        <w:sz w:val="22"/>
      </w:rPr>
    </w:pPr>
    <w:proofErr w:type="gramStart"/>
    <w:r>
      <w:rPr>
        <w:rFonts w:ascii="Arial" w:hAnsi="Arial"/>
        <w:sz w:val="22"/>
      </w:rPr>
      <w:t>19.30  LIGHT</w:t>
    </w:r>
    <w:proofErr w:type="gramEnd"/>
    <w:r>
      <w:rPr>
        <w:rFonts w:ascii="Arial" w:hAnsi="Arial"/>
        <w:sz w:val="22"/>
      </w:rPr>
      <w:t xml:space="preserve"> INDUSTRIAL DISTRICT (LI)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73F"/>
    <w:multiLevelType w:val="singleLevel"/>
    <w:tmpl w:val="E318C91E"/>
    <w:lvl w:ilvl="0">
      <w:start w:val="1"/>
      <w:numFmt w:val="decimal"/>
      <w:lvlText w:val="%1."/>
      <w:lvlJc w:val="left"/>
      <w:pPr>
        <w:tabs>
          <w:tab w:val="num" w:pos="720"/>
        </w:tabs>
        <w:ind w:left="720" w:hanging="720"/>
      </w:pPr>
      <w:rPr>
        <w:rFonts w:hint="default"/>
      </w:rPr>
    </w:lvl>
  </w:abstractNum>
  <w:abstractNum w:abstractNumId="1">
    <w:nsid w:val="423073BB"/>
    <w:multiLevelType w:val="hybridMultilevel"/>
    <w:tmpl w:val="D8109378"/>
    <w:lvl w:ilvl="0" w:tplc="793C74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2766B4"/>
    <w:multiLevelType w:val="singleLevel"/>
    <w:tmpl w:val="9F2E4F9E"/>
    <w:lvl w:ilvl="0">
      <w:start w:val="2"/>
      <w:numFmt w:val="upperLetter"/>
      <w:lvlText w:val="%1."/>
      <w:lvlJc w:val="left"/>
      <w:pPr>
        <w:tabs>
          <w:tab w:val="num" w:pos="0"/>
        </w:tabs>
        <w:ind w:left="0" w:hanging="360"/>
      </w:pPr>
      <w:rPr>
        <w:rFonts w:hint="default"/>
      </w:rPr>
    </w:lvl>
  </w:abstractNum>
  <w:abstractNum w:abstractNumId="3">
    <w:nsid w:val="5F922249"/>
    <w:multiLevelType w:val="hybridMultilevel"/>
    <w:tmpl w:val="D0A258C8"/>
    <w:lvl w:ilvl="0" w:tplc="00A28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AE14FF"/>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69AF3C13"/>
    <w:multiLevelType w:val="singleLevel"/>
    <w:tmpl w:val="C532C77A"/>
    <w:lvl w:ilvl="0">
      <w:start w:val="1"/>
      <w:numFmt w:val="decimal"/>
      <w:lvlText w:val="%1."/>
      <w:legacy w:legacy="1" w:legacySpace="0" w:legacyIndent="360"/>
      <w:lvlJc w:val="left"/>
      <w:pPr>
        <w:ind w:left="720" w:hanging="360"/>
      </w:pPr>
    </w:lvl>
  </w:abstractNum>
  <w:abstractNum w:abstractNumId="6">
    <w:nsid w:val="6D686E1D"/>
    <w:multiLevelType w:val="multilevel"/>
    <w:tmpl w:val="6D584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0192CAF"/>
    <w:multiLevelType w:val="singleLevel"/>
    <w:tmpl w:val="CAB62E88"/>
    <w:lvl w:ilvl="0">
      <w:start w:val="9"/>
      <w:numFmt w:val="decimal"/>
      <w:lvlText w:val="%1."/>
      <w:lvlJc w:val="left"/>
      <w:pPr>
        <w:tabs>
          <w:tab w:val="num" w:pos="360"/>
        </w:tabs>
        <w:ind w:left="360" w:hanging="360"/>
      </w:pPr>
      <w:rPr>
        <w:rFonts w:ascii="Arial" w:hAnsi="Arial" w:hint="default"/>
        <w:b w:val="0"/>
        <w:i w:val="0"/>
        <w:sz w:val="22"/>
      </w:r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348D"/>
    <w:rsid w:val="00004CBB"/>
    <w:rsid w:val="00020B56"/>
    <w:rsid w:val="00037478"/>
    <w:rsid w:val="000C3103"/>
    <w:rsid w:val="000F185E"/>
    <w:rsid w:val="00145A2E"/>
    <w:rsid w:val="001902DF"/>
    <w:rsid w:val="00270687"/>
    <w:rsid w:val="002B78E6"/>
    <w:rsid w:val="00301CF7"/>
    <w:rsid w:val="0035348D"/>
    <w:rsid w:val="00376AB2"/>
    <w:rsid w:val="004015F1"/>
    <w:rsid w:val="004669FB"/>
    <w:rsid w:val="00472C79"/>
    <w:rsid w:val="005566F3"/>
    <w:rsid w:val="005D545A"/>
    <w:rsid w:val="005E61FC"/>
    <w:rsid w:val="006058C4"/>
    <w:rsid w:val="00652F62"/>
    <w:rsid w:val="0066231B"/>
    <w:rsid w:val="00676049"/>
    <w:rsid w:val="00702953"/>
    <w:rsid w:val="00712E30"/>
    <w:rsid w:val="007175C7"/>
    <w:rsid w:val="0077533E"/>
    <w:rsid w:val="007972A9"/>
    <w:rsid w:val="008273DE"/>
    <w:rsid w:val="0084642E"/>
    <w:rsid w:val="00884516"/>
    <w:rsid w:val="008E5BDA"/>
    <w:rsid w:val="008F4C54"/>
    <w:rsid w:val="009377F4"/>
    <w:rsid w:val="00985F43"/>
    <w:rsid w:val="00AD3ECF"/>
    <w:rsid w:val="00B04466"/>
    <w:rsid w:val="00B168BD"/>
    <w:rsid w:val="00B5094F"/>
    <w:rsid w:val="00B50E17"/>
    <w:rsid w:val="00B82409"/>
    <w:rsid w:val="00BD4AF8"/>
    <w:rsid w:val="00C66784"/>
    <w:rsid w:val="00C915CB"/>
    <w:rsid w:val="00CF22A7"/>
    <w:rsid w:val="00D416C0"/>
    <w:rsid w:val="00D421BC"/>
    <w:rsid w:val="00D554CB"/>
    <w:rsid w:val="00D64AB4"/>
    <w:rsid w:val="00D77428"/>
    <w:rsid w:val="00E27409"/>
    <w:rsid w:val="00EF1456"/>
    <w:rsid w:val="00F03B1F"/>
    <w:rsid w:val="00F32C10"/>
    <w:rsid w:val="00F42A41"/>
    <w:rsid w:val="00F75C8D"/>
    <w:rsid w:val="00F80986"/>
    <w:rsid w:val="00FA6CE0"/>
    <w:rsid w:val="00FB5333"/>
    <w:rsid w:val="00FD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DA"/>
  </w:style>
  <w:style w:type="paragraph" w:styleId="Heading1">
    <w:name w:val="heading 1"/>
    <w:basedOn w:val="Normal"/>
    <w:next w:val="Normal"/>
    <w:qFormat/>
    <w:rsid w:val="008E5BDA"/>
    <w:pPr>
      <w:keepNext/>
      <w:outlineLvl w:val="0"/>
    </w:pPr>
    <w:rPr>
      <w:rFonts w:ascii="Arial" w:hAnsi="Arial"/>
      <w:sz w:val="22"/>
      <w:u w:val="single"/>
    </w:rPr>
  </w:style>
  <w:style w:type="paragraph" w:styleId="Heading2">
    <w:name w:val="heading 2"/>
    <w:basedOn w:val="Normal"/>
    <w:next w:val="Normal"/>
    <w:qFormat/>
    <w:rsid w:val="008E5BDA"/>
    <w:pPr>
      <w:keepNext/>
      <w:jc w:val="both"/>
      <w:outlineLvl w:val="1"/>
    </w:pPr>
    <w:rPr>
      <w:rFonts w:ascii="Arial" w:hAnsi="Arial"/>
      <w:sz w:val="22"/>
      <w:u w:val="single"/>
    </w:rPr>
  </w:style>
  <w:style w:type="paragraph" w:styleId="Heading3">
    <w:name w:val="heading 3"/>
    <w:basedOn w:val="Normal"/>
    <w:next w:val="Normal"/>
    <w:qFormat/>
    <w:rsid w:val="008E5BDA"/>
    <w:pPr>
      <w:keepNext/>
      <w:numPr>
        <w:ilvl w:val="2"/>
        <w:numId w:val="1"/>
      </w:numPr>
      <w:jc w:val="center"/>
      <w:outlineLvl w:val="2"/>
    </w:pPr>
    <w:rPr>
      <w:rFonts w:ascii="Arial" w:hAnsi="Arial"/>
      <w:sz w:val="22"/>
      <w:u w:val="single"/>
    </w:rPr>
  </w:style>
  <w:style w:type="paragraph" w:styleId="Heading4">
    <w:name w:val="heading 4"/>
    <w:basedOn w:val="Normal"/>
    <w:next w:val="Normal"/>
    <w:qFormat/>
    <w:rsid w:val="008E5BD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8E5BDA"/>
    <w:pPr>
      <w:numPr>
        <w:ilvl w:val="4"/>
        <w:numId w:val="1"/>
      </w:numPr>
      <w:spacing w:before="240" w:after="60"/>
      <w:outlineLvl w:val="4"/>
    </w:pPr>
    <w:rPr>
      <w:rFonts w:ascii="Courier" w:hAnsi="Courier"/>
      <w:sz w:val="22"/>
    </w:rPr>
  </w:style>
  <w:style w:type="paragraph" w:styleId="Heading6">
    <w:name w:val="heading 6"/>
    <w:basedOn w:val="Normal"/>
    <w:next w:val="Normal"/>
    <w:qFormat/>
    <w:rsid w:val="008E5BDA"/>
    <w:pPr>
      <w:numPr>
        <w:ilvl w:val="5"/>
        <w:numId w:val="1"/>
      </w:numPr>
      <w:spacing w:before="240" w:after="60"/>
      <w:outlineLvl w:val="5"/>
    </w:pPr>
    <w:rPr>
      <w:i/>
      <w:sz w:val="22"/>
    </w:rPr>
  </w:style>
  <w:style w:type="paragraph" w:styleId="Heading7">
    <w:name w:val="heading 7"/>
    <w:basedOn w:val="Normal"/>
    <w:next w:val="Normal"/>
    <w:qFormat/>
    <w:rsid w:val="008E5BDA"/>
    <w:pPr>
      <w:numPr>
        <w:ilvl w:val="6"/>
        <w:numId w:val="1"/>
      </w:numPr>
      <w:spacing w:before="240" w:after="60"/>
      <w:outlineLvl w:val="6"/>
    </w:pPr>
    <w:rPr>
      <w:rFonts w:ascii="Arial" w:hAnsi="Arial"/>
    </w:rPr>
  </w:style>
  <w:style w:type="paragraph" w:styleId="Heading8">
    <w:name w:val="heading 8"/>
    <w:basedOn w:val="Normal"/>
    <w:next w:val="Normal"/>
    <w:qFormat/>
    <w:rsid w:val="008E5BDA"/>
    <w:pPr>
      <w:numPr>
        <w:ilvl w:val="7"/>
        <w:numId w:val="1"/>
      </w:numPr>
      <w:spacing w:before="240" w:after="60"/>
      <w:outlineLvl w:val="7"/>
    </w:pPr>
    <w:rPr>
      <w:rFonts w:ascii="Arial" w:hAnsi="Arial"/>
      <w:i/>
    </w:rPr>
  </w:style>
  <w:style w:type="paragraph" w:styleId="Heading9">
    <w:name w:val="heading 9"/>
    <w:basedOn w:val="Normal"/>
    <w:next w:val="Normal"/>
    <w:qFormat/>
    <w:rsid w:val="008E5BD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5BDA"/>
    <w:pPr>
      <w:tabs>
        <w:tab w:val="center" w:pos="4320"/>
        <w:tab w:val="right" w:pos="8640"/>
      </w:tabs>
    </w:pPr>
  </w:style>
  <w:style w:type="paragraph" w:styleId="Footer">
    <w:name w:val="footer"/>
    <w:basedOn w:val="Normal"/>
    <w:link w:val="FooterChar"/>
    <w:uiPriority w:val="99"/>
    <w:rsid w:val="008E5BDA"/>
    <w:pPr>
      <w:tabs>
        <w:tab w:val="center" w:pos="4320"/>
        <w:tab w:val="right" w:pos="8640"/>
      </w:tabs>
    </w:pPr>
  </w:style>
  <w:style w:type="paragraph" w:styleId="BodyText">
    <w:name w:val="Body Text"/>
    <w:basedOn w:val="Normal"/>
    <w:semiHidden/>
    <w:rsid w:val="008E5BDA"/>
    <w:pPr>
      <w:jc w:val="both"/>
    </w:pPr>
    <w:rPr>
      <w:rFonts w:ascii="Arial" w:hAnsi="Arial"/>
      <w:sz w:val="22"/>
    </w:rPr>
  </w:style>
  <w:style w:type="paragraph" w:styleId="BodyTextIndent">
    <w:name w:val="Body Text Indent"/>
    <w:basedOn w:val="Normal"/>
    <w:semiHidden/>
    <w:rsid w:val="008E5BDA"/>
    <w:pPr>
      <w:ind w:left="720" w:hanging="720"/>
      <w:jc w:val="both"/>
    </w:pPr>
    <w:rPr>
      <w:rFonts w:ascii="Arial" w:hAnsi="Arial"/>
      <w:sz w:val="22"/>
    </w:rPr>
  </w:style>
  <w:style w:type="paragraph" w:styleId="BodyText2">
    <w:name w:val="Body Text 2"/>
    <w:basedOn w:val="Normal"/>
    <w:link w:val="BodyText2Char"/>
    <w:rsid w:val="008E5BDA"/>
    <w:rPr>
      <w:rFonts w:ascii="Arial" w:hAnsi="Arial"/>
      <w:sz w:val="22"/>
    </w:rPr>
  </w:style>
  <w:style w:type="paragraph" w:styleId="BodyTextIndent2">
    <w:name w:val="Body Text Indent 2"/>
    <w:basedOn w:val="Normal"/>
    <w:link w:val="BodyTextIndent2Char"/>
    <w:uiPriority w:val="99"/>
    <w:semiHidden/>
    <w:unhideWhenUsed/>
    <w:rsid w:val="00D416C0"/>
    <w:pPr>
      <w:spacing w:after="120" w:line="480" w:lineRule="auto"/>
      <w:ind w:left="360"/>
    </w:pPr>
  </w:style>
  <w:style w:type="character" w:customStyle="1" w:styleId="BodyTextIndent2Char">
    <w:name w:val="Body Text Indent 2 Char"/>
    <w:basedOn w:val="DefaultParagraphFont"/>
    <w:link w:val="BodyTextIndent2"/>
    <w:uiPriority w:val="99"/>
    <w:semiHidden/>
    <w:rsid w:val="00D416C0"/>
  </w:style>
  <w:style w:type="character" w:customStyle="1" w:styleId="FooterChar">
    <w:name w:val="Footer Char"/>
    <w:basedOn w:val="DefaultParagraphFont"/>
    <w:link w:val="Footer"/>
    <w:uiPriority w:val="99"/>
    <w:rsid w:val="00D421BC"/>
  </w:style>
  <w:style w:type="character" w:customStyle="1" w:styleId="BodyText2Char">
    <w:name w:val="Body Text 2 Char"/>
    <w:basedOn w:val="DefaultParagraphFont"/>
    <w:link w:val="BodyText2"/>
    <w:semiHidden/>
    <w:rsid w:val="00B5094F"/>
    <w:rPr>
      <w:rFonts w:ascii="Arial" w:hAnsi="Arial"/>
      <w:sz w:val="22"/>
    </w:rPr>
  </w:style>
  <w:style w:type="paragraph" w:styleId="List">
    <w:name w:val="List"/>
    <w:basedOn w:val="Normal"/>
    <w:rsid w:val="0084642E"/>
    <w:pPr>
      <w:ind w:left="360" w:hanging="36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1396</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Chapter 19</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dc:title>
  <dc:creator>John Murray</dc:creator>
  <cp:lastModifiedBy>Big Al </cp:lastModifiedBy>
  <cp:revision>11</cp:revision>
  <cp:lastPrinted>2011-12-06T19:26:00Z</cp:lastPrinted>
  <dcterms:created xsi:type="dcterms:W3CDTF">2011-02-11T23:09:00Z</dcterms:created>
  <dcterms:modified xsi:type="dcterms:W3CDTF">2011-12-06T20:42:00Z</dcterms:modified>
</cp:coreProperties>
</file>