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3FB" w:rsidRDefault="00A172D2" w:rsidP="009D0374">
      <w:pPr>
        <w:jc w:val="center"/>
        <w:rPr>
          <w:rFonts w:ascii="Arial Rounded MT Bold" w:hAnsi="Arial Rounded MT Bold" w:cs="Arial"/>
          <w:b/>
          <w:sz w:val="40"/>
          <w:szCs w:val="40"/>
        </w:rPr>
      </w:pPr>
      <w:bookmarkStart w:id="0" w:name="_GoBack"/>
      <w:bookmarkEnd w:id="0"/>
      <w:r>
        <w:rPr>
          <w:rFonts w:ascii="Arial Rounded MT Bold" w:hAnsi="Arial Rounded MT Bold" w:cs="Arial"/>
          <w:b/>
          <w:noProof/>
          <w:sz w:val="40"/>
          <w:szCs w:val="40"/>
        </w:rPr>
        <w:drawing>
          <wp:inline distT="0" distB="0" distL="0" distR="0" wp14:anchorId="33269FA7">
            <wp:extent cx="5723890" cy="11144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3890" cy="1114425"/>
                    </a:xfrm>
                    <a:prstGeom prst="rect">
                      <a:avLst/>
                    </a:prstGeom>
                    <a:noFill/>
                  </pic:spPr>
                </pic:pic>
              </a:graphicData>
            </a:graphic>
          </wp:inline>
        </w:drawing>
      </w:r>
    </w:p>
    <w:p w:rsidR="004A73FB" w:rsidRDefault="004A73FB" w:rsidP="009D0374">
      <w:pPr>
        <w:jc w:val="center"/>
        <w:rPr>
          <w:rFonts w:ascii="Arial Rounded MT Bold" w:hAnsi="Arial Rounded MT Bold" w:cs="Arial"/>
          <w:b/>
          <w:sz w:val="40"/>
          <w:szCs w:val="40"/>
        </w:rPr>
      </w:pPr>
    </w:p>
    <w:p w:rsidR="0006244C" w:rsidRDefault="00165D72" w:rsidP="0006244C">
      <w:pPr>
        <w:jc w:val="center"/>
        <w:rPr>
          <w:rFonts w:ascii="Arial" w:hAnsi="Arial" w:cs="Arial"/>
          <w:b/>
          <w:sz w:val="36"/>
          <w:szCs w:val="40"/>
        </w:rPr>
      </w:pPr>
      <w:r w:rsidRPr="00F83625">
        <w:rPr>
          <w:rFonts w:ascii="Arial" w:hAnsi="Arial" w:cs="Arial"/>
          <w:b/>
          <w:sz w:val="36"/>
          <w:szCs w:val="40"/>
        </w:rPr>
        <w:t xml:space="preserve"> “GET READY” For Tax Filing Season</w:t>
      </w:r>
      <w:r w:rsidR="00115B30" w:rsidRPr="00F83625">
        <w:rPr>
          <w:rFonts w:ascii="Arial" w:hAnsi="Arial" w:cs="Arial"/>
          <w:b/>
          <w:sz w:val="36"/>
          <w:szCs w:val="40"/>
        </w:rPr>
        <w:t xml:space="preserve"> </w:t>
      </w:r>
      <w:r w:rsidR="0006244C" w:rsidRPr="00F83625">
        <w:rPr>
          <w:rFonts w:ascii="Arial" w:hAnsi="Arial" w:cs="Arial"/>
          <w:b/>
          <w:sz w:val="36"/>
          <w:szCs w:val="40"/>
        </w:rPr>
        <w:t>Resources</w:t>
      </w:r>
    </w:p>
    <w:p w:rsidR="00F83625" w:rsidRPr="00F83625" w:rsidRDefault="001E2B69" w:rsidP="00F83625">
      <w:pPr>
        <w:spacing w:after="240"/>
        <w:jc w:val="center"/>
        <w:rPr>
          <w:rFonts w:ascii="Arial" w:hAnsi="Arial" w:cs="Arial"/>
          <w:b/>
          <w:sz w:val="32"/>
          <w:szCs w:val="40"/>
        </w:rPr>
      </w:pPr>
      <w:hyperlink r:id="rId6" w:history="1">
        <w:r w:rsidR="00F83625" w:rsidRPr="00F83625">
          <w:rPr>
            <w:rStyle w:val="Hyperlink"/>
            <w:rFonts w:ascii="Arial" w:hAnsi="Arial" w:cs="Arial"/>
            <w:sz w:val="32"/>
            <w:szCs w:val="40"/>
          </w:rPr>
          <w:t>www.irs.gov/getready</w:t>
        </w:r>
      </w:hyperlink>
    </w:p>
    <w:p w:rsidR="00A172D2" w:rsidRDefault="0006244C" w:rsidP="00F83625">
      <w:pPr>
        <w:jc w:val="center"/>
        <w:rPr>
          <w:b/>
          <w:sz w:val="28"/>
          <w:szCs w:val="28"/>
          <w:u w:val="single"/>
        </w:rPr>
      </w:pPr>
      <w:r w:rsidRPr="00F83625">
        <w:rPr>
          <w:rFonts w:ascii="Arial" w:hAnsi="Arial" w:cs="Arial"/>
        </w:rPr>
        <w:t xml:space="preserve"> </w:t>
      </w:r>
    </w:p>
    <w:p w:rsidR="00A172D2" w:rsidRPr="00A172D2" w:rsidRDefault="00A172D2" w:rsidP="00701AB9">
      <w:pPr>
        <w:rPr>
          <w:sz w:val="28"/>
          <w:szCs w:val="28"/>
        </w:rPr>
      </w:pPr>
      <w:r w:rsidRPr="00A172D2">
        <w:rPr>
          <w:noProof/>
          <w:sz w:val="28"/>
          <w:szCs w:val="28"/>
        </w:rPr>
        <w:t xml:space="preserve">  </w:t>
      </w:r>
      <w:r w:rsidRPr="00A172D2">
        <w:rPr>
          <w:noProof/>
          <w:sz w:val="28"/>
          <w:szCs w:val="28"/>
        </w:rPr>
        <w:drawing>
          <wp:inline distT="0" distB="0" distL="0" distR="0">
            <wp:extent cx="2911245" cy="1456690"/>
            <wp:effectExtent l="0" t="0" r="3810" b="0"/>
            <wp:docPr id="1" name="Picture 1" descr="C:\Users\66JBB\AppData\Local\Microsoft\Windows\Temporary Internet Files\Content.Outlook\86ZTE4BK\ReadyDu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6JBB\AppData\Local\Microsoft\Windows\Temporary Internet Files\Content.Outlook\86ZTE4BK\ReadyDuck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1758" cy="1491972"/>
                    </a:xfrm>
                    <a:prstGeom prst="rect">
                      <a:avLst/>
                    </a:prstGeom>
                    <a:noFill/>
                    <a:ln>
                      <a:noFill/>
                    </a:ln>
                  </pic:spPr>
                </pic:pic>
              </a:graphicData>
            </a:graphic>
          </wp:inline>
        </w:drawing>
      </w:r>
      <w:r w:rsidR="00F20C7A">
        <w:rPr>
          <w:noProof/>
          <w:sz w:val="28"/>
          <w:szCs w:val="28"/>
        </w:rPr>
        <w:t xml:space="preserve">   </w:t>
      </w:r>
      <w:r w:rsidR="00F20C7A" w:rsidRPr="00F20C7A">
        <w:rPr>
          <w:noProof/>
          <w:sz w:val="28"/>
          <w:szCs w:val="28"/>
        </w:rPr>
        <w:drawing>
          <wp:inline distT="0" distB="0" distL="0" distR="0">
            <wp:extent cx="2900708" cy="1451416"/>
            <wp:effectExtent l="0" t="0" r="0" b="0"/>
            <wp:docPr id="2" name="Picture 2" descr="C:\Users\66JBB\AppData\Local\Microsoft\Windows\Temporary Internet Files\Content.Outlook\86ZTE4BK\ReadyChess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6JBB\AppData\Local\Microsoft\Windows\Temporary Internet Files\Content.Outlook\86ZTE4BK\ReadyChess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5763" cy="1468956"/>
                    </a:xfrm>
                    <a:prstGeom prst="rect">
                      <a:avLst/>
                    </a:prstGeom>
                    <a:noFill/>
                    <a:ln>
                      <a:noFill/>
                    </a:ln>
                  </pic:spPr>
                </pic:pic>
              </a:graphicData>
            </a:graphic>
          </wp:inline>
        </w:drawing>
      </w:r>
    </w:p>
    <w:p w:rsidR="00A172D2" w:rsidRDefault="00A172D2" w:rsidP="00701AB9">
      <w:pPr>
        <w:rPr>
          <w:rFonts w:ascii="Arial" w:hAnsi="Arial" w:cs="Arial"/>
          <w:b/>
          <w:szCs w:val="28"/>
          <w:u w:val="single"/>
        </w:rPr>
      </w:pPr>
    </w:p>
    <w:p w:rsidR="00F83625" w:rsidRPr="00F83625" w:rsidRDefault="00F83625" w:rsidP="00701AB9">
      <w:pPr>
        <w:rPr>
          <w:rFonts w:ascii="Arial" w:hAnsi="Arial" w:cs="Arial"/>
          <w:b/>
          <w:szCs w:val="28"/>
          <w:u w:val="single"/>
        </w:rPr>
      </w:pPr>
    </w:p>
    <w:p w:rsidR="00FF07B9" w:rsidRPr="00F83625" w:rsidRDefault="001E2B69" w:rsidP="0006244C">
      <w:pPr>
        <w:rPr>
          <w:rFonts w:ascii="Arial" w:hAnsi="Arial" w:cs="Arial"/>
          <w:b/>
          <w:szCs w:val="28"/>
          <w:u w:val="single"/>
        </w:rPr>
      </w:pPr>
      <w:hyperlink r:id="rId9" w:history="1">
        <w:r w:rsidR="00FF07B9" w:rsidRPr="00F83625">
          <w:rPr>
            <w:rStyle w:val="Hyperlink"/>
            <w:rFonts w:ascii="Arial" w:hAnsi="Arial" w:cs="Arial"/>
            <w:b/>
            <w:szCs w:val="28"/>
          </w:rPr>
          <w:t>Take Steps Now for Tax Filing Season</w:t>
        </w:r>
      </w:hyperlink>
    </w:p>
    <w:p w:rsidR="00FF07B9" w:rsidRPr="00F83625" w:rsidRDefault="00FF07B9" w:rsidP="00FF07B9">
      <w:pPr>
        <w:pStyle w:val="NormalWeb"/>
        <w:shd w:val="clear" w:color="auto" w:fill="FFFFFF"/>
        <w:spacing w:before="0"/>
        <w:rPr>
          <w:rFonts w:ascii="Arial" w:hAnsi="Arial" w:cs="Arial"/>
          <w:color w:val="000000"/>
          <w:sz w:val="20"/>
          <w:szCs w:val="22"/>
        </w:rPr>
      </w:pPr>
      <w:r w:rsidRPr="00F83625">
        <w:rPr>
          <w:rFonts w:ascii="Arial" w:hAnsi="Arial" w:cs="Arial"/>
          <w:color w:val="000000"/>
          <w:sz w:val="20"/>
          <w:szCs w:val="22"/>
        </w:rPr>
        <w:t>Get ready today to file your</w:t>
      </w:r>
      <w:r w:rsidR="00051410" w:rsidRPr="00F83625">
        <w:rPr>
          <w:rFonts w:ascii="Arial" w:hAnsi="Arial" w:cs="Arial"/>
          <w:color w:val="000000"/>
          <w:sz w:val="20"/>
          <w:szCs w:val="22"/>
        </w:rPr>
        <w:t xml:space="preserve"> 2017</w:t>
      </w:r>
      <w:r w:rsidR="00217E74" w:rsidRPr="00F83625">
        <w:rPr>
          <w:rFonts w:ascii="Arial" w:hAnsi="Arial" w:cs="Arial"/>
          <w:color w:val="000000"/>
          <w:sz w:val="20"/>
          <w:szCs w:val="22"/>
        </w:rPr>
        <w:t xml:space="preserve"> federal income tax return. Changes for the tax filing season include ITINs, delays in refunds and validating y</w:t>
      </w:r>
      <w:r w:rsidR="005666D5" w:rsidRPr="00F83625">
        <w:rPr>
          <w:rFonts w:ascii="Arial" w:hAnsi="Arial" w:cs="Arial"/>
          <w:color w:val="000000"/>
          <w:sz w:val="20"/>
          <w:szCs w:val="22"/>
        </w:rPr>
        <w:t>our electronically filed return.</w:t>
      </w:r>
    </w:p>
    <w:p w:rsidR="00FF07B9" w:rsidRPr="00F83625" w:rsidRDefault="00FF07B9" w:rsidP="0006244C">
      <w:pPr>
        <w:rPr>
          <w:rFonts w:ascii="Arial" w:hAnsi="Arial" w:cs="Arial"/>
          <w:b/>
          <w:sz w:val="20"/>
          <w:szCs w:val="22"/>
          <w:u w:val="single"/>
        </w:rPr>
      </w:pPr>
    </w:p>
    <w:p w:rsidR="00FF07B9" w:rsidRPr="00F83625" w:rsidRDefault="001E2B69" w:rsidP="0006244C">
      <w:pPr>
        <w:rPr>
          <w:rFonts w:ascii="Arial" w:hAnsi="Arial" w:cs="Arial"/>
          <w:b/>
          <w:szCs w:val="28"/>
          <w:u w:val="single"/>
        </w:rPr>
      </w:pPr>
      <w:hyperlink r:id="rId10" w:history="1">
        <w:r w:rsidR="00FF07B9" w:rsidRPr="00F83625">
          <w:rPr>
            <w:rStyle w:val="Hyperlink"/>
            <w:rFonts w:ascii="Arial" w:hAnsi="Arial" w:cs="Arial"/>
            <w:b/>
            <w:szCs w:val="28"/>
          </w:rPr>
          <w:t>You May Need to Renew Your ITIN (Individual Taxpayer Identification Number)</w:t>
        </w:r>
      </w:hyperlink>
    </w:p>
    <w:p w:rsidR="00FF07B9" w:rsidRPr="00F83625" w:rsidRDefault="00051410" w:rsidP="0006244C">
      <w:pPr>
        <w:rPr>
          <w:rFonts w:ascii="Arial" w:hAnsi="Arial" w:cs="Arial"/>
          <w:b/>
          <w:sz w:val="20"/>
          <w:szCs w:val="22"/>
          <w:u w:val="single"/>
        </w:rPr>
      </w:pPr>
      <w:r w:rsidRPr="00F83625">
        <w:rPr>
          <w:rFonts w:ascii="Arial" w:hAnsi="Arial" w:cs="Arial"/>
          <w:color w:val="000000"/>
          <w:sz w:val="20"/>
          <w:szCs w:val="22"/>
        </w:rPr>
        <w:t xml:space="preserve">Your ITIN may expire before you file a tax return in 2018. All ITINs not used on a federal tax return at least once in the last three years will expire on December 31, 2017. Additionally, all ITINs issued before 2013 with middle digits of 70, 71, 72 or 80 (Example: (9XX-70-XXXX) will expire at the end of the year. </w:t>
      </w:r>
    </w:p>
    <w:p w:rsidR="00FF07B9" w:rsidRPr="00F83625" w:rsidRDefault="00FF07B9" w:rsidP="0006244C">
      <w:pPr>
        <w:rPr>
          <w:rFonts w:ascii="Arial" w:hAnsi="Arial" w:cs="Arial"/>
          <w:b/>
          <w:szCs w:val="28"/>
          <w:u w:val="single"/>
        </w:rPr>
      </w:pPr>
    </w:p>
    <w:p w:rsidR="00FF07B9" w:rsidRPr="00F83625" w:rsidRDefault="001E2B69" w:rsidP="0006244C">
      <w:pPr>
        <w:rPr>
          <w:rFonts w:ascii="Arial" w:hAnsi="Arial" w:cs="Arial"/>
          <w:b/>
          <w:szCs w:val="28"/>
          <w:u w:val="single"/>
        </w:rPr>
      </w:pPr>
      <w:hyperlink r:id="rId11" w:history="1">
        <w:r w:rsidR="00FF07B9" w:rsidRPr="00F83625">
          <w:rPr>
            <w:rStyle w:val="Hyperlink"/>
            <w:rFonts w:ascii="Arial" w:hAnsi="Arial" w:cs="Arial"/>
            <w:b/>
            <w:szCs w:val="28"/>
          </w:rPr>
          <w:t>Delays in Refunds for EITC and ACTC</w:t>
        </w:r>
      </w:hyperlink>
    </w:p>
    <w:p w:rsidR="00FF07B9" w:rsidRPr="00F83625" w:rsidRDefault="00051410" w:rsidP="0006244C">
      <w:pPr>
        <w:rPr>
          <w:rFonts w:ascii="Arial" w:hAnsi="Arial" w:cs="Arial"/>
          <w:sz w:val="20"/>
          <w:szCs w:val="22"/>
        </w:rPr>
      </w:pPr>
      <w:r w:rsidRPr="00F83625">
        <w:rPr>
          <w:rFonts w:ascii="Arial" w:hAnsi="Arial" w:cs="Arial"/>
          <w:sz w:val="20"/>
          <w:szCs w:val="22"/>
        </w:rPr>
        <w:t>If you claim the earned income tax credit (EITC) or the additional child tax credit (ACTC) on your tax return, the IRS must hold your refund until at least February 15 — even the portion not associated with EITC or ACTC.</w:t>
      </w:r>
    </w:p>
    <w:p w:rsidR="00FF07B9" w:rsidRPr="00F83625" w:rsidRDefault="00FF07B9" w:rsidP="0006244C">
      <w:pPr>
        <w:rPr>
          <w:rFonts w:ascii="Arial" w:hAnsi="Arial" w:cs="Arial"/>
          <w:b/>
          <w:sz w:val="20"/>
          <w:szCs w:val="22"/>
          <w:u w:val="single"/>
        </w:rPr>
      </w:pPr>
    </w:p>
    <w:p w:rsidR="00C864B4" w:rsidRPr="00F83625" w:rsidRDefault="001E2B69" w:rsidP="00C864B4">
      <w:pPr>
        <w:rPr>
          <w:rFonts w:ascii="Arial" w:hAnsi="Arial" w:cs="Arial"/>
          <w:b/>
          <w:color w:val="000000"/>
          <w:szCs w:val="28"/>
        </w:rPr>
      </w:pPr>
      <w:hyperlink r:id="rId12" w:history="1">
        <w:r w:rsidR="00FF07B9" w:rsidRPr="00F83625">
          <w:rPr>
            <w:rStyle w:val="Hyperlink"/>
            <w:rFonts w:ascii="Arial" w:hAnsi="Arial" w:cs="Arial"/>
            <w:b/>
            <w:szCs w:val="28"/>
          </w:rPr>
          <w:t>Validating Your Electronically Filed Tax Return</w:t>
        </w:r>
      </w:hyperlink>
    </w:p>
    <w:p w:rsidR="00FF07B9" w:rsidRPr="00F83625" w:rsidRDefault="00FF07B9" w:rsidP="00C864B4">
      <w:pPr>
        <w:rPr>
          <w:rFonts w:ascii="Arial" w:hAnsi="Arial" w:cs="Arial"/>
          <w:sz w:val="20"/>
          <w:szCs w:val="22"/>
        </w:rPr>
      </w:pPr>
      <w:r w:rsidRPr="00F83625">
        <w:rPr>
          <w:rFonts w:ascii="Arial" w:hAnsi="Arial" w:cs="Arial"/>
          <w:color w:val="000000"/>
          <w:sz w:val="20"/>
          <w:szCs w:val="22"/>
        </w:rPr>
        <w:t>When self-preparing your taxes and filing electronically, you must sign and validate your electronic tax return by entering your prior-year Adjusted Gross Income (AGI) or your prior- year Self-Select PIN. Using an electronic filing PIN is no longer an option.</w:t>
      </w:r>
    </w:p>
    <w:p w:rsidR="009832A4" w:rsidRPr="00F83625" w:rsidRDefault="009832A4" w:rsidP="0006244C">
      <w:pPr>
        <w:jc w:val="center"/>
        <w:rPr>
          <w:rFonts w:ascii="Arial" w:hAnsi="Arial" w:cs="Arial"/>
          <w:sz w:val="22"/>
        </w:rPr>
      </w:pPr>
    </w:p>
    <w:p w:rsidR="00A172D2" w:rsidRPr="00F83625" w:rsidRDefault="001E2B69" w:rsidP="00A172D2">
      <w:pPr>
        <w:rPr>
          <w:rFonts w:ascii="Arial" w:hAnsi="Arial" w:cs="Arial"/>
          <w:b/>
          <w:szCs w:val="28"/>
          <w:u w:val="single"/>
        </w:rPr>
      </w:pPr>
      <w:hyperlink r:id="rId13" w:history="1">
        <w:r w:rsidR="005C228D" w:rsidRPr="00F83625">
          <w:rPr>
            <w:rStyle w:val="Hyperlink"/>
            <w:rFonts w:ascii="Arial" w:hAnsi="Arial" w:cs="Arial"/>
            <w:b/>
            <w:szCs w:val="28"/>
          </w:rPr>
          <w:t>Let Us Help You - Online Tools and Resources</w:t>
        </w:r>
      </w:hyperlink>
    </w:p>
    <w:p w:rsidR="000E3CB2" w:rsidRPr="00F83625" w:rsidRDefault="000E3CB2" w:rsidP="00A172D2">
      <w:pPr>
        <w:rPr>
          <w:rFonts w:ascii="Arial" w:hAnsi="Arial" w:cs="Arial"/>
          <w:sz w:val="20"/>
          <w:szCs w:val="22"/>
        </w:rPr>
      </w:pPr>
      <w:r w:rsidRPr="00F83625">
        <w:rPr>
          <w:rFonts w:ascii="Arial" w:hAnsi="Arial" w:cs="Arial"/>
          <w:sz w:val="20"/>
          <w:szCs w:val="22"/>
        </w:rPr>
        <w:t>Before you call, check out the topics people ask about most. We have high call volumes and encourage you to click on one of these hot topics for faster service.</w:t>
      </w:r>
    </w:p>
    <w:p w:rsidR="000E3CB2" w:rsidRPr="00F83625" w:rsidRDefault="000E3CB2" w:rsidP="00A172D2">
      <w:pPr>
        <w:rPr>
          <w:rFonts w:ascii="Arial" w:hAnsi="Arial" w:cs="Arial"/>
          <w:sz w:val="20"/>
          <w:szCs w:val="22"/>
        </w:rPr>
      </w:pPr>
    </w:p>
    <w:p w:rsidR="000E3CB2" w:rsidRPr="00F83625" w:rsidRDefault="000E3CB2" w:rsidP="00A172D2">
      <w:pPr>
        <w:rPr>
          <w:rFonts w:ascii="Arial" w:hAnsi="Arial" w:cs="Arial"/>
          <w:sz w:val="20"/>
          <w:szCs w:val="22"/>
        </w:rPr>
      </w:pPr>
    </w:p>
    <w:p w:rsidR="000E3CB2" w:rsidRPr="00F83625" w:rsidRDefault="000E3CB2" w:rsidP="00A172D2">
      <w:pPr>
        <w:rPr>
          <w:rFonts w:ascii="Arial" w:hAnsi="Arial" w:cs="Arial"/>
          <w:sz w:val="22"/>
        </w:rPr>
      </w:pPr>
    </w:p>
    <w:p w:rsidR="000E3CB2" w:rsidRPr="000E3CB2" w:rsidRDefault="000E3CB2" w:rsidP="00A172D2">
      <w:pPr>
        <w:rPr>
          <w:sz w:val="22"/>
          <w:szCs w:val="22"/>
        </w:rPr>
      </w:pPr>
    </w:p>
    <w:sectPr w:rsidR="000E3CB2" w:rsidRPr="000E3CB2" w:rsidSect="00C73F2A">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2CF7"/>
    <w:multiLevelType w:val="hybridMultilevel"/>
    <w:tmpl w:val="585A0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33D9C"/>
    <w:multiLevelType w:val="hybridMultilevel"/>
    <w:tmpl w:val="452ACBC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AF287F"/>
    <w:multiLevelType w:val="hybridMultilevel"/>
    <w:tmpl w:val="A9688ABA"/>
    <w:lvl w:ilvl="0" w:tplc="9E5A6DB4">
      <w:start w:val="1"/>
      <w:numFmt w:val="bullet"/>
      <w:lvlText w:val="•"/>
      <w:lvlJc w:val="left"/>
      <w:pPr>
        <w:tabs>
          <w:tab w:val="num" w:pos="720"/>
        </w:tabs>
        <w:ind w:left="720" w:hanging="360"/>
      </w:pPr>
      <w:rPr>
        <w:rFonts w:ascii="Times New Roman" w:hAnsi="Times New Roman" w:hint="default"/>
      </w:rPr>
    </w:lvl>
    <w:lvl w:ilvl="1" w:tplc="2DDCBDE6" w:tentative="1">
      <w:start w:val="1"/>
      <w:numFmt w:val="bullet"/>
      <w:lvlText w:val="•"/>
      <w:lvlJc w:val="left"/>
      <w:pPr>
        <w:tabs>
          <w:tab w:val="num" w:pos="1440"/>
        </w:tabs>
        <w:ind w:left="1440" w:hanging="360"/>
      </w:pPr>
      <w:rPr>
        <w:rFonts w:ascii="Times New Roman" w:hAnsi="Times New Roman" w:hint="default"/>
      </w:rPr>
    </w:lvl>
    <w:lvl w:ilvl="2" w:tplc="DA268E08" w:tentative="1">
      <w:start w:val="1"/>
      <w:numFmt w:val="bullet"/>
      <w:lvlText w:val="•"/>
      <w:lvlJc w:val="left"/>
      <w:pPr>
        <w:tabs>
          <w:tab w:val="num" w:pos="2160"/>
        </w:tabs>
        <w:ind w:left="2160" w:hanging="360"/>
      </w:pPr>
      <w:rPr>
        <w:rFonts w:ascii="Times New Roman" w:hAnsi="Times New Roman" w:hint="default"/>
      </w:rPr>
    </w:lvl>
    <w:lvl w:ilvl="3" w:tplc="30C082D8" w:tentative="1">
      <w:start w:val="1"/>
      <w:numFmt w:val="bullet"/>
      <w:lvlText w:val="•"/>
      <w:lvlJc w:val="left"/>
      <w:pPr>
        <w:tabs>
          <w:tab w:val="num" w:pos="2880"/>
        </w:tabs>
        <w:ind w:left="2880" w:hanging="360"/>
      </w:pPr>
      <w:rPr>
        <w:rFonts w:ascii="Times New Roman" w:hAnsi="Times New Roman" w:hint="default"/>
      </w:rPr>
    </w:lvl>
    <w:lvl w:ilvl="4" w:tplc="295AEB84" w:tentative="1">
      <w:start w:val="1"/>
      <w:numFmt w:val="bullet"/>
      <w:lvlText w:val="•"/>
      <w:lvlJc w:val="left"/>
      <w:pPr>
        <w:tabs>
          <w:tab w:val="num" w:pos="3600"/>
        </w:tabs>
        <w:ind w:left="3600" w:hanging="360"/>
      </w:pPr>
      <w:rPr>
        <w:rFonts w:ascii="Times New Roman" w:hAnsi="Times New Roman" w:hint="default"/>
      </w:rPr>
    </w:lvl>
    <w:lvl w:ilvl="5" w:tplc="EFE0075A" w:tentative="1">
      <w:start w:val="1"/>
      <w:numFmt w:val="bullet"/>
      <w:lvlText w:val="•"/>
      <w:lvlJc w:val="left"/>
      <w:pPr>
        <w:tabs>
          <w:tab w:val="num" w:pos="4320"/>
        </w:tabs>
        <w:ind w:left="4320" w:hanging="360"/>
      </w:pPr>
      <w:rPr>
        <w:rFonts w:ascii="Times New Roman" w:hAnsi="Times New Roman" w:hint="default"/>
      </w:rPr>
    </w:lvl>
    <w:lvl w:ilvl="6" w:tplc="66C28DE2" w:tentative="1">
      <w:start w:val="1"/>
      <w:numFmt w:val="bullet"/>
      <w:lvlText w:val="•"/>
      <w:lvlJc w:val="left"/>
      <w:pPr>
        <w:tabs>
          <w:tab w:val="num" w:pos="5040"/>
        </w:tabs>
        <w:ind w:left="5040" w:hanging="360"/>
      </w:pPr>
      <w:rPr>
        <w:rFonts w:ascii="Times New Roman" w:hAnsi="Times New Roman" w:hint="default"/>
      </w:rPr>
    </w:lvl>
    <w:lvl w:ilvl="7" w:tplc="98046638" w:tentative="1">
      <w:start w:val="1"/>
      <w:numFmt w:val="bullet"/>
      <w:lvlText w:val="•"/>
      <w:lvlJc w:val="left"/>
      <w:pPr>
        <w:tabs>
          <w:tab w:val="num" w:pos="5760"/>
        </w:tabs>
        <w:ind w:left="5760" w:hanging="360"/>
      </w:pPr>
      <w:rPr>
        <w:rFonts w:ascii="Times New Roman" w:hAnsi="Times New Roman" w:hint="default"/>
      </w:rPr>
    </w:lvl>
    <w:lvl w:ilvl="8" w:tplc="FCFE2E7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3040790"/>
    <w:multiLevelType w:val="hybridMultilevel"/>
    <w:tmpl w:val="A7B4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7C1299"/>
    <w:multiLevelType w:val="hybridMultilevel"/>
    <w:tmpl w:val="1F7E736A"/>
    <w:lvl w:ilvl="0" w:tplc="04090001">
      <w:start w:val="1"/>
      <w:numFmt w:val="bullet"/>
      <w:lvlText w:val=""/>
      <w:lvlJc w:val="left"/>
      <w:pPr>
        <w:ind w:left="720" w:hanging="360"/>
      </w:pPr>
      <w:rPr>
        <w:rFonts w:ascii="Symbol" w:hAnsi="Symbol" w:hint="default"/>
      </w:rPr>
    </w:lvl>
    <w:lvl w:ilvl="1" w:tplc="0A746CE6">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13288E"/>
    <w:multiLevelType w:val="hybridMultilevel"/>
    <w:tmpl w:val="FE6E5FE0"/>
    <w:lvl w:ilvl="0" w:tplc="8C6229A2">
      <w:start w:val="1"/>
      <w:numFmt w:val="bullet"/>
      <w:lvlText w:val="•"/>
      <w:lvlJc w:val="left"/>
      <w:pPr>
        <w:tabs>
          <w:tab w:val="num" w:pos="720"/>
        </w:tabs>
        <w:ind w:left="720" w:hanging="360"/>
      </w:pPr>
      <w:rPr>
        <w:rFonts w:ascii="Times New Roman" w:hAnsi="Times New Roman" w:hint="default"/>
      </w:rPr>
    </w:lvl>
    <w:lvl w:ilvl="1" w:tplc="8A7C462A" w:tentative="1">
      <w:start w:val="1"/>
      <w:numFmt w:val="bullet"/>
      <w:lvlText w:val="•"/>
      <w:lvlJc w:val="left"/>
      <w:pPr>
        <w:tabs>
          <w:tab w:val="num" w:pos="1440"/>
        </w:tabs>
        <w:ind w:left="1440" w:hanging="360"/>
      </w:pPr>
      <w:rPr>
        <w:rFonts w:ascii="Times New Roman" w:hAnsi="Times New Roman" w:hint="default"/>
      </w:rPr>
    </w:lvl>
    <w:lvl w:ilvl="2" w:tplc="20F8309E" w:tentative="1">
      <w:start w:val="1"/>
      <w:numFmt w:val="bullet"/>
      <w:lvlText w:val="•"/>
      <w:lvlJc w:val="left"/>
      <w:pPr>
        <w:tabs>
          <w:tab w:val="num" w:pos="2160"/>
        </w:tabs>
        <w:ind w:left="2160" w:hanging="360"/>
      </w:pPr>
      <w:rPr>
        <w:rFonts w:ascii="Times New Roman" w:hAnsi="Times New Roman" w:hint="default"/>
      </w:rPr>
    </w:lvl>
    <w:lvl w:ilvl="3" w:tplc="897487D4" w:tentative="1">
      <w:start w:val="1"/>
      <w:numFmt w:val="bullet"/>
      <w:lvlText w:val="•"/>
      <w:lvlJc w:val="left"/>
      <w:pPr>
        <w:tabs>
          <w:tab w:val="num" w:pos="2880"/>
        </w:tabs>
        <w:ind w:left="2880" w:hanging="360"/>
      </w:pPr>
      <w:rPr>
        <w:rFonts w:ascii="Times New Roman" w:hAnsi="Times New Roman" w:hint="default"/>
      </w:rPr>
    </w:lvl>
    <w:lvl w:ilvl="4" w:tplc="4D8C885A" w:tentative="1">
      <w:start w:val="1"/>
      <w:numFmt w:val="bullet"/>
      <w:lvlText w:val="•"/>
      <w:lvlJc w:val="left"/>
      <w:pPr>
        <w:tabs>
          <w:tab w:val="num" w:pos="3600"/>
        </w:tabs>
        <w:ind w:left="3600" w:hanging="360"/>
      </w:pPr>
      <w:rPr>
        <w:rFonts w:ascii="Times New Roman" w:hAnsi="Times New Roman" w:hint="default"/>
      </w:rPr>
    </w:lvl>
    <w:lvl w:ilvl="5" w:tplc="8B20CC54" w:tentative="1">
      <w:start w:val="1"/>
      <w:numFmt w:val="bullet"/>
      <w:lvlText w:val="•"/>
      <w:lvlJc w:val="left"/>
      <w:pPr>
        <w:tabs>
          <w:tab w:val="num" w:pos="4320"/>
        </w:tabs>
        <w:ind w:left="4320" w:hanging="360"/>
      </w:pPr>
      <w:rPr>
        <w:rFonts w:ascii="Times New Roman" w:hAnsi="Times New Roman" w:hint="default"/>
      </w:rPr>
    </w:lvl>
    <w:lvl w:ilvl="6" w:tplc="3948D90C" w:tentative="1">
      <w:start w:val="1"/>
      <w:numFmt w:val="bullet"/>
      <w:lvlText w:val="•"/>
      <w:lvlJc w:val="left"/>
      <w:pPr>
        <w:tabs>
          <w:tab w:val="num" w:pos="5040"/>
        </w:tabs>
        <w:ind w:left="5040" w:hanging="360"/>
      </w:pPr>
      <w:rPr>
        <w:rFonts w:ascii="Times New Roman" w:hAnsi="Times New Roman" w:hint="default"/>
      </w:rPr>
    </w:lvl>
    <w:lvl w:ilvl="7" w:tplc="30268E3C" w:tentative="1">
      <w:start w:val="1"/>
      <w:numFmt w:val="bullet"/>
      <w:lvlText w:val="•"/>
      <w:lvlJc w:val="left"/>
      <w:pPr>
        <w:tabs>
          <w:tab w:val="num" w:pos="5760"/>
        </w:tabs>
        <w:ind w:left="5760" w:hanging="360"/>
      </w:pPr>
      <w:rPr>
        <w:rFonts w:ascii="Times New Roman" w:hAnsi="Times New Roman" w:hint="default"/>
      </w:rPr>
    </w:lvl>
    <w:lvl w:ilvl="8" w:tplc="0E567C3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7E9147B"/>
    <w:multiLevelType w:val="hybridMultilevel"/>
    <w:tmpl w:val="CDDAA7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DB04FE2"/>
    <w:multiLevelType w:val="hybridMultilevel"/>
    <w:tmpl w:val="AA46B8D8"/>
    <w:lvl w:ilvl="0" w:tplc="C6BA662E">
      <w:start w:val="1"/>
      <w:numFmt w:val="bullet"/>
      <w:lvlText w:val="•"/>
      <w:lvlJc w:val="left"/>
      <w:pPr>
        <w:tabs>
          <w:tab w:val="num" w:pos="720"/>
        </w:tabs>
        <w:ind w:left="720" w:hanging="360"/>
      </w:pPr>
      <w:rPr>
        <w:rFonts w:ascii="Times New Roman" w:hAnsi="Times New Roman" w:hint="default"/>
      </w:rPr>
    </w:lvl>
    <w:lvl w:ilvl="1" w:tplc="48566426" w:tentative="1">
      <w:start w:val="1"/>
      <w:numFmt w:val="bullet"/>
      <w:lvlText w:val="•"/>
      <w:lvlJc w:val="left"/>
      <w:pPr>
        <w:tabs>
          <w:tab w:val="num" w:pos="1440"/>
        </w:tabs>
        <w:ind w:left="1440" w:hanging="360"/>
      </w:pPr>
      <w:rPr>
        <w:rFonts w:ascii="Times New Roman" w:hAnsi="Times New Roman" w:hint="default"/>
      </w:rPr>
    </w:lvl>
    <w:lvl w:ilvl="2" w:tplc="971A26AA" w:tentative="1">
      <w:start w:val="1"/>
      <w:numFmt w:val="bullet"/>
      <w:lvlText w:val="•"/>
      <w:lvlJc w:val="left"/>
      <w:pPr>
        <w:tabs>
          <w:tab w:val="num" w:pos="2160"/>
        </w:tabs>
        <w:ind w:left="2160" w:hanging="360"/>
      </w:pPr>
      <w:rPr>
        <w:rFonts w:ascii="Times New Roman" w:hAnsi="Times New Roman" w:hint="default"/>
      </w:rPr>
    </w:lvl>
    <w:lvl w:ilvl="3" w:tplc="A33843EC" w:tentative="1">
      <w:start w:val="1"/>
      <w:numFmt w:val="bullet"/>
      <w:lvlText w:val="•"/>
      <w:lvlJc w:val="left"/>
      <w:pPr>
        <w:tabs>
          <w:tab w:val="num" w:pos="2880"/>
        </w:tabs>
        <w:ind w:left="2880" w:hanging="360"/>
      </w:pPr>
      <w:rPr>
        <w:rFonts w:ascii="Times New Roman" w:hAnsi="Times New Roman" w:hint="default"/>
      </w:rPr>
    </w:lvl>
    <w:lvl w:ilvl="4" w:tplc="172E9AB4" w:tentative="1">
      <w:start w:val="1"/>
      <w:numFmt w:val="bullet"/>
      <w:lvlText w:val="•"/>
      <w:lvlJc w:val="left"/>
      <w:pPr>
        <w:tabs>
          <w:tab w:val="num" w:pos="3600"/>
        </w:tabs>
        <w:ind w:left="3600" w:hanging="360"/>
      </w:pPr>
      <w:rPr>
        <w:rFonts w:ascii="Times New Roman" w:hAnsi="Times New Roman" w:hint="default"/>
      </w:rPr>
    </w:lvl>
    <w:lvl w:ilvl="5" w:tplc="70C6F618" w:tentative="1">
      <w:start w:val="1"/>
      <w:numFmt w:val="bullet"/>
      <w:lvlText w:val="•"/>
      <w:lvlJc w:val="left"/>
      <w:pPr>
        <w:tabs>
          <w:tab w:val="num" w:pos="4320"/>
        </w:tabs>
        <w:ind w:left="4320" w:hanging="360"/>
      </w:pPr>
      <w:rPr>
        <w:rFonts w:ascii="Times New Roman" w:hAnsi="Times New Roman" w:hint="default"/>
      </w:rPr>
    </w:lvl>
    <w:lvl w:ilvl="6" w:tplc="B01A7D96" w:tentative="1">
      <w:start w:val="1"/>
      <w:numFmt w:val="bullet"/>
      <w:lvlText w:val="•"/>
      <w:lvlJc w:val="left"/>
      <w:pPr>
        <w:tabs>
          <w:tab w:val="num" w:pos="5040"/>
        </w:tabs>
        <w:ind w:left="5040" w:hanging="360"/>
      </w:pPr>
      <w:rPr>
        <w:rFonts w:ascii="Times New Roman" w:hAnsi="Times New Roman" w:hint="default"/>
      </w:rPr>
    </w:lvl>
    <w:lvl w:ilvl="7" w:tplc="605C12B6" w:tentative="1">
      <w:start w:val="1"/>
      <w:numFmt w:val="bullet"/>
      <w:lvlText w:val="•"/>
      <w:lvlJc w:val="left"/>
      <w:pPr>
        <w:tabs>
          <w:tab w:val="num" w:pos="5760"/>
        </w:tabs>
        <w:ind w:left="5760" w:hanging="360"/>
      </w:pPr>
      <w:rPr>
        <w:rFonts w:ascii="Times New Roman" w:hAnsi="Times New Roman" w:hint="default"/>
      </w:rPr>
    </w:lvl>
    <w:lvl w:ilvl="8" w:tplc="5486124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32F11F9"/>
    <w:multiLevelType w:val="hybridMultilevel"/>
    <w:tmpl w:val="48EAC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7"/>
  </w:num>
  <w:num w:numId="5">
    <w:abstractNumId w:val="5"/>
  </w:num>
  <w:num w:numId="6">
    <w:abstractNumId w:val="8"/>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F1A"/>
    <w:rsid w:val="000133DB"/>
    <w:rsid w:val="0001531C"/>
    <w:rsid w:val="00024D0D"/>
    <w:rsid w:val="00034DAD"/>
    <w:rsid w:val="00051410"/>
    <w:rsid w:val="0006244C"/>
    <w:rsid w:val="000A00FD"/>
    <w:rsid w:val="000C461B"/>
    <w:rsid w:val="000E3CB2"/>
    <w:rsid w:val="000F0FC4"/>
    <w:rsid w:val="001122D6"/>
    <w:rsid w:val="00115B30"/>
    <w:rsid w:val="00152E4C"/>
    <w:rsid w:val="00165D72"/>
    <w:rsid w:val="0017163C"/>
    <w:rsid w:val="00177D65"/>
    <w:rsid w:val="0018249D"/>
    <w:rsid w:val="00186AD3"/>
    <w:rsid w:val="00197385"/>
    <w:rsid w:val="001A6748"/>
    <w:rsid w:val="001E2B69"/>
    <w:rsid w:val="00217E74"/>
    <w:rsid w:val="002469B8"/>
    <w:rsid w:val="00253CC6"/>
    <w:rsid w:val="00265E8E"/>
    <w:rsid w:val="00276BB6"/>
    <w:rsid w:val="00297B4A"/>
    <w:rsid w:val="002F20D5"/>
    <w:rsid w:val="0031033B"/>
    <w:rsid w:val="00326C5E"/>
    <w:rsid w:val="003364F4"/>
    <w:rsid w:val="00350718"/>
    <w:rsid w:val="0038649C"/>
    <w:rsid w:val="003A4D01"/>
    <w:rsid w:val="003E7CCE"/>
    <w:rsid w:val="004146F1"/>
    <w:rsid w:val="00415F7A"/>
    <w:rsid w:val="0044089F"/>
    <w:rsid w:val="00456A7A"/>
    <w:rsid w:val="0046490D"/>
    <w:rsid w:val="00477FBD"/>
    <w:rsid w:val="00482835"/>
    <w:rsid w:val="00486BA7"/>
    <w:rsid w:val="00496772"/>
    <w:rsid w:val="004A73FB"/>
    <w:rsid w:val="004E5B63"/>
    <w:rsid w:val="004E779A"/>
    <w:rsid w:val="005111B3"/>
    <w:rsid w:val="00554EE9"/>
    <w:rsid w:val="005633A6"/>
    <w:rsid w:val="005654D5"/>
    <w:rsid w:val="005666D5"/>
    <w:rsid w:val="005703B6"/>
    <w:rsid w:val="00591394"/>
    <w:rsid w:val="005A2134"/>
    <w:rsid w:val="005C228D"/>
    <w:rsid w:val="00616305"/>
    <w:rsid w:val="006519AD"/>
    <w:rsid w:val="00677A4C"/>
    <w:rsid w:val="00685D93"/>
    <w:rsid w:val="0069233A"/>
    <w:rsid w:val="00693E49"/>
    <w:rsid w:val="006B0E9B"/>
    <w:rsid w:val="006D6C14"/>
    <w:rsid w:val="006E7FE1"/>
    <w:rsid w:val="006F79E9"/>
    <w:rsid w:val="00701AB9"/>
    <w:rsid w:val="00740CE5"/>
    <w:rsid w:val="00743F27"/>
    <w:rsid w:val="00744799"/>
    <w:rsid w:val="00746C61"/>
    <w:rsid w:val="007734BB"/>
    <w:rsid w:val="007D5332"/>
    <w:rsid w:val="00804069"/>
    <w:rsid w:val="0083605E"/>
    <w:rsid w:val="00842F1A"/>
    <w:rsid w:val="00847069"/>
    <w:rsid w:val="00864B1F"/>
    <w:rsid w:val="00870031"/>
    <w:rsid w:val="008866B7"/>
    <w:rsid w:val="008906EC"/>
    <w:rsid w:val="00897D81"/>
    <w:rsid w:val="00911497"/>
    <w:rsid w:val="0092107D"/>
    <w:rsid w:val="00927060"/>
    <w:rsid w:val="00971B99"/>
    <w:rsid w:val="00975468"/>
    <w:rsid w:val="009832A4"/>
    <w:rsid w:val="00992D81"/>
    <w:rsid w:val="009C6EC1"/>
    <w:rsid w:val="009D0374"/>
    <w:rsid w:val="009F544F"/>
    <w:rsid w:val="00A172D2"/>
    <w:rsid w:val="00AA5D2C"/>
    <w:rsid w:val="00AD543D"/>
    <w:rsid w:val="00AE1687"/>
    <w:rsid w:val="00B03E5B"/>
    <w:rsid w:val="00B10AAE"/>
    <w:rsid w:val="00B34931"/>
    <w:rsid w:val="00B50652"/>
    <w:rsid w:val="00B74688"/>
    <w:rsid w:val="00B84D4C"/>
    <w:rsid w:val="00B90D6E"/>
    <w:rsid w:val="00B95AE9"/>
    <w:rsid w:val="00BB45D1"/>
    <w:rsid w:val="00BD636F"/>
    <w:rsid w:val="00BE6162"/>
    <w:rsid w:val="00BF4AF8"/>
    <w:rsid w:val="00C70938"/>
    <w:rsid w:val="00C73F2A"/>
    <w:rsid w:val="00C80488"/>
    <w:rsid w:val="00C8380C"/>
    <w:rsid w:val="00C85648"/>
    <w:rsid w:val="00C864B4"/>
    <w:rsid w:val="00CA76B4"/>
    <w:rsid w:val="00CC44FC"/>
    <w:rsid w:val="00CE6F7F"/>
    <w:rsid w:val="00D05BDA"/>
    <w:rsid w:val="00D24F70"/>
    <w:rsid w:val="00D43986"/>
    <w:rsid w:val="00D64779"/>
    <w:rsid w:val="00D71CF3"/>
    <w:rsid w:val="00D83A73"/>
    <w:rsid w:val="00D85622"/>
    <w:rsid w:val="00D91E7E"/>
    <w:rsid w:val="00DB1462"/>
    <w:rsid w:val="00DC49D1"/>
    <w:rsid w:val="00E039AD"/>
    <w:rsid w:val="00E03F96"/>
    <w:rsid w:val="00E14ADD"/>
    <w:rsid w:val="00E531CF"/>
    <w:rsid w:val="00E7126D"/>
    <w:rsid w:val="00EE7F7A"/>
    <w:rsid w:val="00F12205"/>
    <w:rsid w:val="00F20C7A"/>
    <w:rsid w:val="00F45FED"/>
    <w:rsid w:val="00F511F1"/>
    <w:rsid w:val="00F83625"/>
    <w:rsid w:val="00F9165C"/>
    <w:rsid w:val="00FC2933"/>
    <w:rsid w:val="00FF0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F44F37-0798-43CF-8F46-678194A3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01531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2F1A"/>
    <w:rPr>
      <w:color w:val="0000FF"/>
      <w:u w:val="single"/>
    </w:rPr>
  </w:style>
  <w:style w:type="character" w:styleId="FollowedHyperlink">
    <w:name w:val="FollowedHyperlink"/>
    <w:rsid w:val="00EE7F7A"/>
    <w:rPr>
      <w:color w:val="800080"/>
      <w:u w:val="single"/>
    </w:rPr>
  </w:style>
  <w:style w:type="paragraph" w:customStyle="1" w:styleId="Default">
    <w:name w:val="Default"/>
    <w:rsid w:val="00D43986"/>
    <w:pPr>
      <w:autoSpaceDE w:val="0"/>
      <w:autoSpaceDN w:val="0"/>
      <w:adjustRightInd w:val="0"/>
    </w:pPr>
    <w:rPr>
      <w:rFonts w:ascii="ITC Franklin Gothic Std Book" w:hAnsi="ITC Franklin Gothic Std Book" w:cs="ITC Franklin Gothic Std Book"/>
      <w:color w:val="000000"/>
      <w:sz w:val="24"/>
      <w:szCs w:val="24"/>
    </w:rPr>
  </w:style>
  <w:style w:type="character" w:styleId="Strong">
    <w:name w:val="Strong"/>
    <w:qFormat/>
    <w:rsid w:val="00F9165C"/>
    <w:rPr>
      <w:b/>
      <w:bCs/>
    </w:rPr>
  </w:style>
  <w:style w:type="paragraph" w:styleId="BalloonText">
    <w:name w:val="Balloon Text"/>
    <w:basedOn w:val="Normal"/>
    <w:link w:val="BalloonTextChar"/>
    <w:rsid w:val="00B03E5B"/>
    <w:rPr>
      <w:rFonts w:ascii="Tahoma" w:hAnsi="Tahoma" w:cs="Tahoma"/>
      <w:sz w:val="16"/>
      <w:szCs w:val="16"/>
    </w:rPr>
  </w:style>
  <w:style w:type="character" w:customStyle="1" w:styleId="BalloonTextChar">
    <w:name w:val="Balloon Text Char"/>
    <w:basedOn w:val="DefaultParagraphFont"/>
    <w:link w:val="BalloonText"/>
    <w:rsid w:val="00B03E5B"/>
    <w:rPr>
      <w:rFonts w:ascii="Tahoma" w:hAnsi="Tahoma" w:cs="Tahoma"/>
      <w:sz w:val="16"/>
      <w:szCs w:val="16"/>
    </w:rPr>
  </w:style>
  <w:style w:type="paragraph" w:styleId="NormalWeb">
    <w:name w:val="Normal (Web)"/>
    <w:basedOn w:val="Normal"/>
    <w:uiPriority w:val="99"/>
    <w:unhideWhenUsed/>
    <w:rsid w:val="00FF07B9"/>
    <w:pPr>
      <w:spacing w:before="225"/>
    </w:pPr>
  </w:style>
  <w:style w:type="character" w:customStyle="1" w:styleId="UnresolvedMention">
    <w:name w:val="Unresolved Mention"/>
    <w:basedOn w:val="DefaultParagraphFont"/>
    <w:uiPriority w:val="99"/>
    <w:semiHidden/>
    <w:unhideWhenUsed/>
    <w:rsid w:val="005C228D"/>
    <w:rPr>
      <w:color w:val="808080"/>
      <w:shd w:val="clear" w:color="auto" w:fill="E6E6E6"/>
    </w:rPr>
  </w:style>
  <w:style w:type="paragraph" w:styleId="ListParagraph">
    <w:name w:val="List Paragraph"/>
    <w:basedOn w:val="Normal"/>
    <w:uiPriority w:val="34"/>
    <w:qFormat/>
    <w:rsid w:val="00482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248154">
      <w:bodyDiv w:val="1"/>
      <w:marLeft w:val="0"/>
      <w:marRight w:val="0"/>
      <w:marTop w:val="0"/>
      <w:marBottom w:val="0"/>
      <w:divBdr>
        <w:top w:val="none" w:sz="0" w:space="0" w:color="auto"/>
        <w:left w:val="none" w:sz="0" w:space="0" w:color="auto"/>
        <w:bottom w:val="none" w:sz="0" w:space="0" w:color="auto"/>
        <w:right w:val="none" w:sz="0" w:space="0" w:color="auto"/>
      </w:divBdr>
    </w:div>
    <w:div w:id="831683615">
      <w:bodyDiv w:val="1"/>
      <w:marLeft w:val="0"/>
      <w:marRight w:val="0"/>
      <w:marTop w:val="0"/>
      <w:marBottom w:val="0"/>
      <w:divBdr>
        <w:top w:val="none" w:sz="0" w:space="0" w:color="auto"/>
        <w:left w:val="none" w:sz="0" w:space="0" w:color="auto"/>
        <w:bottom w:val="none" w:sz="0" w:space="0" w:color="auto"/>
        <w:right w:val="none" w:sz="0" w:space="0" w:color="auto"/>
      </w:divBdr>
      <w:divsChild>
        <w:div w:id="1290822484">
          <w:marLeft w:val="0"/>
          <w:marRight w:val="0"/>
          <w:marTop w:val="0"/>
          <w:marBottom w:val="0"/>
          <w:divBdr>
            <w:top w:val="none" w:sz="0" w:space="0" w:color="auto"/>
            <w:left w:val="none" w:sz="0" w:space="0" w:color="auto"/>
            <w:bottom w:val="none" w:sz="0" w:space="0" w:color="auto"/>
            <w:right w:val="none" w:sz="0" w:space="0" w:color="auto"/>
          </w:divBdr>
          <w:divsChild>
            <w:div w:id="1215963540">
              <w:marLeft w:val="0"/>
              <w:marRight w:val="0"/>
              <w:marTop w:val="0"/>
              <w:marBottom w:val="0"/>
              <w:divBdr>
                <w:top w:val="none" w:sz="0" w:space="0" w:color="auto"/>
                <w:left w:val="none" w:sz="0" w:space="0" w:color="auto"/>
                <w:bottom w:val="none" w:sz="0" w:space="0" w:color="auto"/>
                <w:right w:val="none" w:sz="0" w:space="0" w:color="auto"/>
              </w:divBdr>
              <w:divsChild>
                <w:div w:id="1565675901">
                  <w:marLeft w:val="0"/>
                  <w:marRight w:val="0"/>
                  <w:marTop w:val="0"/>
                  <w:marBottom w:val="0"/>
                  <w:divBdr>
                    <w:top w:val="none" w:sz="0" w:space="0" w:color="auto"/>
                    <w:left w:val="none" w:sz="0" w:space="0" w:color="auto"/>
                    <w:bottom w:val="none" w:sz="0" w:space="0" w:color="auto"/>
                    <w:right w:val="none" w:sz="0" w:space="0" w:color="auto"/>
                  </w:divBdr>
                  <w:divsChild>
                    <w:div w:id="581909764">
                      <w:marLeft w:val="0"/>
                      <w:marRight w:val="0"/>
                      <w:marTop w:val="0"/>
                      <w:marBottom w:val="0"/>
                      <w:divBdr>
                        <w:top w:val="none" w:sz="0" w:space="0" w:color="auto"/>
                        <w:left w:val="none" w:sz="0" w:space="0" w:color="auto"/>
                        <w:bottom w:val="none" w:sz="0" w:space="0" w:color="auto"/>
                        <w:right w:val="none" w:sz="0" w:space="0" w:color="auto"/>
                      </w:divBdr>
                      <w:divsChild>
                        <w:div w:id="1378091980">
                          <w:marLeft w:val="0"/>
                          <w:marRight w:val="0"/>
                          <w:marTop w:val="0"/>
                          <w:marBottom w:val="0"/>
                          <w:divBdr>
                            <w:top w:val="none" w:sz="0" w:space="0" w:color="auto"/>
                            <w:left w:val="none" w:sz="0" w:space="0" w:color="auto"/>
                            <w:bottom w:val="none" w:sz="0" w:space="0" w:color="auto"/>
                            <w:right w:val="none" w:sz="0" w:space="0" w:color="auto"/>
                          </w:divBdr>
                          <w:divsChild>
                            <w:div w:id="1522546711">
                              <w:marLeft w:val="0"/>
                              <w:marRight w:val="0"/>
                              <w:marTop w:val="0"/>
                              <w:marBottom w:val="0"/>
                              <w:divBdr>
                                <w:top w:val="none" w:sz="0" w:space="0" w:color="auto"/>
                                <w:left w:val="none" w:sz="0" w:space="0" w:color="auto"/>
                                <w:bottom w:val="none" w:sz="0" w:space="0" w:color="auto"/>
                                <w:right w:val="none" w:sz="0" w:space="0" w:color="auto"/>
                              </w:divBdr>
                              <w:divsChild>
                                <w:div w:id="1190146120">
                                  <w:marLeft w:val="0"/>
                                  <w:marRight w:val="0"/>
                                  <w:marTop w:val="0"/>
                                  <w:marBottom w:val="0"/>
                                  <w:divBdr>
                                    <w:top w:val="none" w:sz="0" w:space="0" w:color="auto"/>
                                    <w:left w:val="none" w:sz="0" w:space="0" w:color="auto"/>
                                    <w:bottom w:val="none" w:sz="0" w:space="0" w:color="auto"/>
                                    <w:right w:val="none" w:sz="0" w:space="0" w:color="auto"/>
                                  </w:divBdr>
                                  <w:divsChild>
                                    <w:div w:id="1642733408">
                                      <w:marLeft w:val="150"/>
                                      <w:marRight w:val="150"/>
                                      <w:marTop w:val="0"/>
                                      <w:marBottom w:val="0"/>
                                      <w:divBdr>
                                        <w:top w:val="none" w:sz="0" w:space="0" w:color="auto"/>
                                        <w:left w:val="none" w:sz="0" w:space="0" w:color="auto"/>
                                        <w:bottom w:val="none" w:sz="0" w:space="0" w:color="auto"/>
                                        <w:right w:val="none" w:sz="0" w:space="0" w:color="auto"/>
                                      </w:divBdr>
                                      <w:divsChild>
                                        <w:div w:id="460002007">
                                          <w:marLeft w:val="0"/>
                                          <w:marRight w:val="0"/>
                                          <w:marTop w:val="0"/>
                                          <w:marBottom w:val="0"/>
                                          <w:divBdr>
                                            <w:top w:val="none" w:sz="0" w:space="0" w:color="auto"/>
                                            <w:left w:val="none" w:sz="0" w:space="0" w:color="auto"/>
                                            <w:bottom w:val="none" w:sz="0" w:space="0" w:color="auto"/>
                                            <w:right w:val="none" w:sz="0" w:space="0" w:color="auto"/>
                                          </w:divBdr>
                                          <w:divsChild>
                                            <w:div w:id="18476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2053290">
      <w:bodyDiv w:val="1"/>
      <w:marLeft w:val="0"/>
      <w:marRight w:val="0"/>
      <w:marTop w:val="0"/>
      <w:marBottom w:val="0"/>
      <w:divBdr>
        <w:top w:val="none" w:sz="0" w:space="0" w:color="auto"/>
        <w:left w:val="none" w:sz="0" w:space="0" w:color="auto"/>
        <w:bottom w:val="none" w:sz="0" w:space="0" w:color="auto"/>
        <w:right w:val="none" w:sz="0" w:space="0" w:color="auto"/>
      </w:divBdr>
      <w:divsChild>
        <w:div w:id="1698967601">
          <w:marLeft w:val="0"/>
          <w:marRight w:val="0"/>
          <w:marTop w:val="0"/>
          <w:marBottom w:val="0"/>
          <w:divBdr>
            <w:top w:val="none" w:sz="0" w:space="0" w:color="auto"/>
            <w:left w:val="none" w:sz="0" w:space="0" w:color="auto"/>
            <w:bottom w:val="none" w:sz="0" w:space="0" w:color="auto"/>
            <w:right w:val="none" w:sz="0" w:space="0" w:color="auto"/>
          </w:divBdr>
        </w:div>
      </w:divsChild>
    </w:div>
    <w:div w:id="1295982297">
      <w:bodyDiv w:val="1"/>
      <w:marLeft w:val="0"/>
      <w:marRight w:val="0"/>
      <w:marTop w:val="0"/>
      <w:marBottom w:val="0"/>
      <w:divBdr>
        <w:top w:val="none" w:sz="0" w:space="0" w:color="auto"/>
        <w:left w:val="none" w:sz="0" w:space="0" w:color="auto"/>
        <w:bottom w:val="none" w:sz="0" w:space="0" w:color="auto"/>
        <w:right w:val="none" w:sz="0" w:space="0" w:color="auto"/>
      </w:divBdr>
      <w:divsChild>
        <w:div w:id="1930842660">
          <w:marLeft w:val="0"/>
          <w:marRight w:val="0"/>
          <w:marTop w:val="0"/>
          <w:marBottom w:val="0"/>
          <w:divBdr>
            <w:top w:val="none" w:sz="0" w:space="0" w:color="auto"/>
            <w:left w:val="none" w:sz="0" w:space="0" w:color="auto"/>
            <w:bottom w:val="none" w:sz="0" w:space="0" w:color="auto"/>
            <w:right w:val="none" w:sz="0" w:space="0" w:color="auto"/>
          </w:divBdr>
          <w:divsChild>
            <w:div w:id="1892813110">
              <w:marLeft w:val="0"/>
              <w:marRight w:val="0"/>
              <w:marTop w:val="0"/>
              <w:marBottom w:val="0"/>
              <w:divBdr>
                <w:top w:val="none" w:sz="0" w:space="0" w:color="auto"/>
                <w:left w:val="none" w:sz="0" w:space="0" w:color="auto"/>
                <w:bottom w:val="none" w:sz="0" w:space="0" w:color="auto"/>
                <w:right w:val="none" w:sz="0" w:space="0" w:color="auto"/>
              </w:divBdr>
              <w:divsChild>
                <w:div w:id="130423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irs.gov/help/telephone-assistance"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irs.gov/individuals/electronic-filing-pin-request?_ga=1.257548360.2101671845.14592642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s.gov/getready" TargetMode="External"/><Relationship Id="rId11" Type="http://schemas.openxmlformats.org/officeDocument/2006/relationships/hyperlink" Target="https://www.irs.gov/credits-deductions/individuals/earned-income-tax-credi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irs.gov/individuals/individual-taxpayer-identification-number-itin" TargetMode="External"/><Relationship Id="rId4" Type="http://schemas.openxmlformats.org/officeDocument/2006/relationships/webSettings" Target="webSettings.xml"/><Relationship Id="rId9" Type="http://schemas.openxmlformats.org/officeDocument/2006/relationships/hyperlink" Target="https://www.irs.gov/individuals/steps-for-tax-filing-seas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EITC DUE DILIGENCE</vt:lpstr>
    </vt:vector>
  </TitlesOfParts>
  <Company>Department of the Treasury</Company>
  <LinksUpToDate>false</LinksUpToDate>
  <CharactersWithSpaces>1949</CharactersWithSpaces>
  <SharedDoc>false</SharedDoc>
  <HLinks>
    <vt:vector size="84" baseType="variant">
      <vt:variant>
        <vt:i4>539164752</vt:i4>
      </vt:variant>
      <vt:variant>
        <vt:i4>39</vt:i4>
      </vt:variant>
      <vt:variant>
        <vt:i4>0</vt:i4>
      </vt:variant>
      <vt:variant>
        <vt:i4>5</vt:i4>
      </vt:variant>
      <vt:variant>
        <vt:lpwstr>http://www.irs.gov/Individuals/Earned-Income-Tax-Credit-(EITC)-–--Use-the-EITC-Assistant-to-Find-Out-if-You-Should-Claim-it.</vt:lpwstr>
      </vt:variant>
      <vt:variant>
        <vt:lpwstr/>
      </vt:variant>
      <vt:variant>
        <vt:i4>2490404</vt:i4>
      </vt:variant>
      <vt:variant>
        <vt:i4>36</vt:i4>
      </vt:variant>
      <vt:variant>
        <vt:i4>0</vt:i4>
      </vt:variant>
      <vt:variant>
        <vt:i4>5</vt:i4>
      </vt:variant>
      <vt:variant>
        <vt:lpwstr>http://www.eitc.irs.gov/Tax-Preparer-Toolkit/dd</vt:lpwstr>
      </vt:variant>
      <vt:variant>
        <vt:lpwstr/>
      </vt:variant>
      <vt:variant>
        <vt:i4>5767245</vt:i4>
      </vt:variant>
      <vt:variant>
        <vt:i4>33</vt:i4>
      </vt:variant>
      <vt:variant>
        <vt:i4>0</vt:i4>
      </vt:variant>
      <vt:variant>
        <vt:i4>5</vt:i4>
      </vt:variant>
      <vt:variant>
        <vt:lpwstr>http://www.irs.gov/pub/irs-pdf/p4717.pdf</vt:lpwstr>
      </vt:variant>
      <vt:variant>
        <vt:lpwstr/>
      </vt:variant>
      <vt:variant>
        <vt:i4>720963</vt:i4>
      </vt:variant>
      <vt:variant>
        <vt:i4>30</vt:i4>
      </vt:variant>
      <vt:variant>
        <vt:i4>0</vt:i4>
      </vt:variant>
      <vt:variant>
        <vt:i4>5</vt:i4>
      </vt:variant>
      <vt:variant>
        <vt:lpwstr>https://www.irs.gov/Credits-&amp;-Deductions/Individuals/Earned-Income-Tax-Credit/EITC-Publications,-Forms,-Brochures-and-Other-Resources</vt:lpwstr>
      </vt:variant>
      <vt:variant>
        <vt:lpwstr/>
      </vt:variant>
      <vt:variant>
        <vt:i4>5832772</vt:i4>
      </vt:variant>
      <vt:variant>
        <vt:i4>27</vt:i4>
      </vt:variant>
      <vt:variant>
        <vt:i4>0</vt:i4>
      </vt:variant>
      <vt:variant>
        <vt:i4>5</vt:i4>
      </vt:variant>
      <vt:variant>
        <vt:lpwstr>http://www.irs.gov/pub/irs-pdf/p4687.pdf</vt:lpwstr>
      </vt:variant>
      <vt:variant>
        <vt:lpwstr/>
      </vt:variant>
      <vt:variant>
        <vt:i4>4259910</vt:i4>
      </vt:variant>
      <vt:variant>
        <vt:i4>24</vt:i4>
      </vt:variant>
      <vt:variant>
        <vt:i4>0</vt:i4>
      </vt:variant>
      <vt:variant>
        <vt:i4>5</vt:i4>
      </vt:variant>
      <vt:variant>
        <vt:lpwstr>http://www.irs.gov/pub/irs-pdf/f8867.pdf</vt:lpwstr>
      </vt:variant>
      <vt:variant>
        <vt:lpwstr/>
      </vt:variant>
      <vt:variant>
        <vt:i4>1966160</vt:i4>
      </vt:variant>
      <vt:variant>
        <vt:i4>21</vt:i4>
      </vt:variant>
      <vt:variant>
        <vt:i4>0</vt:i4>
      </vt:variant>
      <vt:variant>
        <vt:i4>5</vt:i4>
      </vt:variant>
      <vt:variant>
        <vt:lpwstr>http://www.irs.gov/Tax-Professionals/IRS-Letters-and-Visits-to-Return-Preparers-FAQs</vt:lpwstr>
      </vt:variant>
      <vt:variant>
        <vt:lpwstr/>
      </vt:variant>
      <vt:variant>
        <vt:i4>2162740</vt:i4>
      </vt:variant>
      <vt:variant>
        <vt:i4>18</vt:i4>
      </vt:variant>
      <vt:variant>
        <vt:i4>0</vt:i4>
      </vt:variant>
      <vt:variant>
        <vt:i4>5</vt:i4>
      </vt:variant>
      <vt:variant>
        <vt:lpwstr>http://www.irs.gov/Tax-Professionals/IRS-Letters-and-Visits-to-Return-Preparers</vt:lpwstr>
      </vt:variant>
      <vt:variant>
        <vt:lpwstr/>
      </vt:variant>
      <vt:variant>
        <vt:i4>4391002</vt:i4>
      </vt:variant>
      <vt:variant>
        <vt:i4>15</vt:i4>
      </vt:variant>
      <vt:variant>
        <vt:i4>0</vt:i4>
      </vt:variant>
      <vt:variant>
        <vt:i4>5</vt:i4>
      </vt:variant>
      <vt:variant>
        <vt:lpwstr>http://www.eitc.irs.gov/Tax-Preparer-Toolkit/ddmodule</vt:lpwstr>
      </vt:variant>
      <vt:variant>
        <vt:lpwstr/>
      </vt:variant>
      <vt:variant>
        <vt:i4>5570629</vt:i4>
      </vt:variant>
      <vt:variant>
        <vt:i4>12</vt:i4>
      </vt:variant>
      <vt:variant>
        <vt:i4>0</vt:i4>
      </vt:variant>
      <vt:variant>
        <vt:i4>5</vt:i4>
      </vt:variant>
      <vt:variant>
        <vt:lpwstr>http://www.eitc.irs.gov/Tax-Preparer-Toolkit/faqs</vt:lpwstr>
      </vt:variant>
      <vt:variant>
        <vt:lpwstr/>
      </vt:variant>
      <vt:variant>
        <vt:i4>2228284</vt:i4>
      </vt:variant>
      <vt:variant>
        <vt:i4>9</vt:i4>
      </vt:variant>
      <vt:variant>
        <vt:i4>0</vt:i4>
      </vt:variant>
      <vt:variant>
        <vt:i4>5</vt:i4>
      </vt:variant>
      <vt:variant>
        <vt:lpwstr>http://www.eitc.irs.gov/Tax-Preparer-Toolkit/compliance</vt:lpwstr>
      </vt:variant>
      <vt:variant>
        <vt:lpwstr/>
      </vt:variant>
      <vt:variant>
        <vt:i4>4587589</vt:i4>
      </vt:variant>
      <vt:variant>
        <vt:i4>6</vt:i4>
      </vt:variant>
      <vt:variant>
        <vt:i4>0</vt:i4>
      </vt:variant>
      <vt:variant>
        <vt:i4>5</vt:i4>
      </vt:variant>
      <vt:variant>
        <vt:lpwstr>http://www.eitc.irs.gov/Tax-Preparer-Toolkit/main</vt:lpwstr>
      </vt:variant>
      <vt:variant>
        <vt:lpwstr/>
      </vt:variant>
      <vt:variant>
        <vt:i4>524369</vt:i4>
      </vt:variant>
      <vt:variant>
        <vt:i4>3</vt:i4>
      </vt:variant>
      <vt:variant>
        <vt:i4>0</vt:i4>
      </vt:variant>
      <vt:variant>
        <vt:i4>5</vt:i4>
      </vt:variant>
      <vt:variant>
        <vt:lpwstr>http://www.eitc.irs.gov/</vt:lpwstr>
      </vt:variant>
      <vt:variant>
        <vt:lpwstr/>
      </vt:variant>
      <vt:variant>
        <vt:i4>4587589</vt:i4>
      </vt:variant>
      <vt:variant>
        <vt:i4>0</vt:i4>
      </vt:variant>
      <vt:variant>
        <vt:i4>0</vt:i4>
      </vt:variant>
      <vt:variant>
        <vt:i4>5</vt:i4>
      </vt:variant>
      <vt:variant>
        <vt:lpwstr>http://www.eitc.irs.gov/Tax-Preparer-Toolkit/main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EITC DUE DILIGENCE</dc:title>
  <dc:creator>QDMFB</dc:creator>
  <cp:lastModifiedBy>Wilson, Brittany (GOV)</cp:lastModifiedBy>
  <cp:revision>2</cp:revision>
  <dcterms:created xsi:type="dcterms:W3CDTF">2017-11-15T21:08:00Z</dcterms:created>
  <dcterms:modified xsi:type="dcterms:W3CDTF">2017-11-15T21:08:00Z</dcterms:modified>
</cp:coreProperties>
</file>