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12A2" w14:textId="77777777" w:rsidR="00ED0E45" w:rsidRPr="00ED0E45" w:rsidRDefault="00D07E42">
      <w:pPr>
        <w:rPr>
          <w:b/>
          <w:bCs/>
          <w:sz w:val="28"/>
          <w:szCs w:val="28"/>
        </w:rPr>
      </w:pPr>
      <w:bookmarkStart w:id="0" w:name="_GoBack"/>
      <w:bookmarkEnd w:id="0"/>
      <w:r>
        <w:rPr>
          <w:b/>
          <w:bCs/>
          <w:sz w:val="28"/>
          <w:szCs w:val="28"/>
        </w:rPr>
        <w:t xml:space="preserve">Products &amp; Alternatives Prioritization: </w:t>
      </w:r>
      <w:r w:rsidR="0044277B">
        <w:rPr>
          <w:b/>
          <w:bCs/>
          <w:sz w:val="28"/>
          <w:szCs w:val="28"/>
        </w:rPr>
        <w:t xml:space="preserve">Seeking </w:t>
      </w:r>
      <w:r>
        <w:rPr>
          <w:b/>
          <w:bCs/>
          <w:sz w:val="28"/>
          <w:szCs w:val="28"/>
        </w:rPr>
        <w:t xml:space="preserve">safer </w:t>
      </w:r>
      <w:r w:rsidR="00881B2B">
        <w:rPr>
          <w:b/>
          <w:bCs/>
          <w:sz w:val="28"/>
          <w:szCs w:val="28"/>
        </w:rPr>
        <w:t>a</w:t>
      </w:r>
      <w:r w:rsidR="002416C9">
        <w:rPr>
          <w:b/>
          <w:bCs/>
          <w:sz w:val="28"/>
          <w:szCs w:val="28"/>
        </w:rPr>
        <w:t xml:space="preserve">lternatives to toxic substances in food packaging </w:t>
      </w:r>
    </w:p>
    <w:p w14:paraId="2BD58D52" w14:textId="77777777" w:rsidR="002416C9" w:rsidRDefault="002416C9">
      <w:pPr>
        <w:rPr>
          <w:sz w:val="28"/>
          <w:szCs w:val="28"/>
          <w:u w:val="single"/>
        </w:rPr>
      </w:pPr>
      <w:r>
        <w:rPr>
          <w:sz w:val="28"/>
          <w:szCs w:val="28"/>
          <w:u w:val="single"/>
        </w:rPr>
        <w:t>Issue Summary</w:t>
      </w:r>
    </w:p>
    <w:p w14:paraId="3A9B4CAB" w14:textId="77777777" w:rsidR="002416C9" w:rsidRPr="008C1981" w:rsidRDefault="00881B2B" w:rsidP="002416C9">
      <w:pPr>
        <w:rPr>
          <w:sz w:val="24"/>
          <w:szCs w:val="24"/>
        </w:rPr>
      </w:pPr>
      <w:r w:rsidRPr="008C1981">
        <w:rPr>
          <w:sz w:val="24"/>
          <w:szCs w:val="24"/>
        </w:rPr>
        <w:t xml:space="preserve">In 2018, the Washington State Legislature passed a law </w:t>
      </w:r>
      <w:r w:rsidR="006B3D76" w:rsidRPr="008C1981">
        <w:rPr>
          <w:sz w:val="24"/>
          <w:szCs w:val="24"/>
        </w:rPr>
        <w:t>(</w:t>
      </w:r>
      <w:hyperlink r:id="rId7" w:history="1">
        <w:r w:rsidR="006B3D76" w:rsidRPr="008C1981">
          <w:rPr>
            <w:rStyle w:val="Hyperlink"/>
            <w:sz w:val="24"/>
            <w:szCs w:val="24"/>
          </w:rPr>
          <w:t>70.95G</w:t>
        </w:r>
      </w:hyperlink>
      <w:r w:rsidR="006B3D76" w:rsidRPr="008C1981">
        <w:rPr>
          <w:sz w:val="24"/>
          <w:szCs w:val="24"/>
        </w:rPr>
        <w:t xml:space="preserve">) </w:t>
      </w:r>
      <w:r w:rsidRPr="008C1981">
        <w:rPr>
          <w:sz w:val="24"/>
          <w:szCs w:val="24"/>
        </w:rPr>
        <w:t>prohibiting the manufacture, sale and distribution of these types of food packaging, directing the Washington State Department of Ecology to study alternative products and report its findings to the Legislature in 2020</w:t>
      </w:r>
      <w:r w:rsidR="002416C9" w:rsidRPr="008C1981">
        <w:rPr>
          <w:sz w:val="24"/>
          <w:szCs w:val="24"/>
        </w:rPr>
        <w:t xml:space="preserve">.   </w:t>
      </w:r>
    </w:p>
    <w:p w14:paraId="72D919B4" w14:textId="73CA8FF4" w:rsidR="001E0E6D" w:rsidRPr="00ED0E45" w:rsidRDefault="009A718E">
      <w:pPr>
        <w:rPr>
          <w:sz w:val="28"/>
          <w:szCs w:val="28"/>
          <w:u w:val="single"/>
        </w:rPr>
      </w:pPr>
      <w:r>
        <w:rPr>
          <w:sz w:val="28"/>
          <w:szCs w:val="28"/>
          <w:u w:val="single"/>
        </w:rPr>
        <w:t xml:space="preserve">Product Category &amp; Alternatives </w:t>
      </w:r>
      <w:r w:rsidR="00570D67" w:rsidRPr="00ED0E45">
        <w:rPr>
          <w:sz w:val="28"/>
          <w:szCs w:val="28"/>
          <w:u w:val="single"/>
        </w:rPr>
        <w:t>Prioritization</w:t>
      </w:r>
      <w:r w:rsidR="00D07E42">
        <w:rPr>
          <w:sz w:val="28"/>
          <w:szCs w:val="28"/>
          <w:u w:val="single"/>
        </w:rPr>
        <w:t xml:space="preserve"> </w:t>
      </w:r>
    </w:p>
    <w:p w14:paraId="0DBC0993" w14:textId="15ECE4B0" w:rsidR="006B3D76" w:rsidRPr="008C1981" w:rsidRDefault="00881B2B">
      <w:pPr>
        <w:rPr>
          <w:sz w:val="24"/>
          <w:szCs w:val="24"/>
        </w:rPr>
      </w:pPr>
      <w:r w:rsidRPr="008C1981">
        <w:rPr>
          <w:sz w:val="24"/>
          <w:szCs w:val="24"/>
        </w:rPr>
        <w:t>Ecology’s selection of the product categories includes wraps and liners, bags, dinnerware, and takeout containers. This allows Ecology to leverage information and data on the current uses across multiple product categories</w:t>
      </w:r>
      <w:r w:rsidR="00AC0B8B" w:rsidRPr="008C1981">
        <w:rPr>
          <w:sz w:val="24"/>
          <w:szCs w:val="24"/>
        </w:rPr>
        <w:t xml:space="preserve"> to seek </w:t>
      </w:r>
      <w:r w:rsidR="006B3D76" w:rsidRPr="008C1981">
        <w:rPr>
          <w:sz w:val="24"/>
          <w:szCs w:val="24"/>
        </w:rPr>
        <w:t xml:space="preserve">opportunities to replace several toxic products with </w:t>
      </w:r>
      <w:r w:rsidR="009A718E">
        <w:rPr>
          <w:sz w:val="24"/>
          <w:szCs w:val="24"/>
        </w:rPr>
        <w:t xml:space="preserve">alternatives. </w:t>
      </w:r>
      <w:r w:rsidR="0028378E" w:rsidRPr="008C1981">
        <w:rPr>
          <w:sz w:val="24"/>
          <w:szCs w:val="24"/>
        </w:rPr>
        <w:t xml:space="preserve"> </w:t>
      </w:r>
      <w:r w:rsidRPr="008C1981">
        <w:rPr>
          <w:sz w:val="24"/>
          <w:szCs w:val="24"/>
        </w:rPr>
        <w:t xml:space="preserve">Choosing products with a material overlap will help to maximize the </w:t>
      </w:r>
      <w:r w:rsidR="006B3D76" w:rsidRPr="008C1981">
        <w:rPr>
          <w:sz w:val="24"/>
          <w:szCs w:val="24"/>
        </w:rPr>
        <w:t xml:space="preserve">positive </w:t>
      </w:r>
      <w:r w:rsidRPr="008C1981">
        <w:rPr>
          <w:sz w:val="24"/>
          <w:szCs w:val="24"/>
        </w:rPr>
        <w:t xml:space="preserve">impact </w:t>
      </w:r>
      <w:r w:rsidR="006B3D76" w:rsidRPr="008C1981">
        <w:rPr>
          <w:sz w:val="24"/>
          <w:szCs w:val="24"/>
        </w:rPr>
        <w:t>on business</w:t>
      </w:r>
      <w:r w:rsidR="008958B9">
        <w:rPr>
          <w:sz w:val="24"/>
          <w:szCs w:val="24"/>
        </w:rPr>
        <w:t>es</w:t>
      </w:r>
      <w:r w:rsidR="006B3D76" w:rsidRPr="008C1981">
        <w:rPr>
          <w:sz w:val="24"/>
          <w:szCs w:val="24"/>
        </w:rPr>
        <w:t xml:space="preserve"> that use these products</w:t>
      </w:r>
      <w:r w:rsidRPr="008C1981">
        <w:rPr>
          <w:sz w:val="24"/>
          <w:szCs w:val="24"/>
        </w:rPr>
        <w:t xml:space="preserve">. </w:t>
      </w:r>
    </w:p>
    <w:p w14:paraId="01C8178F" w14:textId="77777777" w:rsidR="0081371B" w:rsidRPr="008C1981" w:rsidRDefault="00C80C6B">
      <w:pPr>
        <w:rPr>
          <w:sz w:val="24"/>
          <w:szCs w:val="24"/>
        </w:rPr>
      </w:pPr>
      <w:r w:rsidRPr="008C1981">
        <w:rPr>
          <w:sz w:val="24"/>
          <w:szCs w:val="24"/>
        </w:rPr>
        <w:t>Ecology</w:t>
      </w:r>
      <w:r w:rsidR="0081371B" w:rsidRPr="008C1981">
        <w:rPr>
          <w:sz w:val="24"/>
          <w:szCs w:val="24"/>
        </w:rPr>
        <w:t xml:space="preserve"> </w:t>
      </w:r>
      <w:r w:rsidR="00AC0B8B" w:rsidRPr="008C1981">
        <w:rPr>
          <w:sz w:val="24"/>
          <w:szCs w:val="24"/>
        </w:rPr>
        <w:t xml:space="preserve">is conducting </w:t>
      </w:r>
      <w:r w:rsidR="0081371B" w:rsidRPr="008C1981">
        <w:rPr>
          <w:sz w:val="24"/>
          <w:szCs w:val="24"/>
        </w:rPr>
        <w:t xml:space="preserve">research and </w:t>
      </w:r>
      <w:r w:rsidRPr="008C1981">
        <w:rPr>
          <w:sz w:val="24"/>
          <w:szCs w:val="24"/>
        </w:rPr>
        <w:t xml:space="preserve">review </w:t>
      </w:r>
      <w:r w:rsidR="0081371B" w:rsidRPr="008C1981">
        <w:rPr>
          <w:sz w:val="24"/>
          <w:szCs w:val="24"/>
        </w:rPr>
        <w:t xml:space="preserve">of the current </w:t>
      </w:r>
      <w:r w:rsidRPr="008C1981">
        <w:rPr>
          <w:sz w:val="24"/>
          <w:szCs w:val="24"/>
        </w:rPr>
        <w:t xml:space="preserve">market availability of the </w:t>
      </w:r>
      <w:r w:rsidR="0081371B" w:rsidRPr="008C1981">
        <w:rPr>
          <w:sz w:val="24"/>
          <w:szCs w:val="24"/>
        </w:rPr>
        <w:t xml:space="preserve">many </w:t>
      </w:r>
      <w:r w:rsidR="008E2FCB" w:rsidRPr="008C1981">
        <w:rPr>
          <w:sz w:val="24"/>
          <w:szCs w:val="24"/>
        </w:rPr>
        <w:t>types</w:t>
      </w:r>
      <w:r w:rsidR="00ED0E45" w:rsidRPr="008C1981">
        <w:rPr>
          <w:sz w:val="24"/>
          <w:szCs w:val="24"/>
        </w:rPr>
        <w:t xml:space="preserve"> of materials used in</w:t>
      </w:r>
      <w:r w:rsidR="0081371B" w:rsidRPr="008C1981">
        <w:rPr>
          <w:sz w:val="24"/>
          <w:szCs w:val="24"/>
        </w:rPr>
        <w:t xml:space="preserve"> food packaging</w:t>
      </w:r>
      <w:r w:rsidR="006B3D76" w:rsidRPr="008C1981">
        <w:rPr>
          <w:sz w:val="24"/>
          <w:szCs w:val="24"/>
        </w:rPr>
        <w:t xml:space="preserve"> both with and without PFAS</w:t>
      </w:r>
      <w:r w:rsidR="0081371B" w:rsidRPr="008C1981">
        <w:rPr>
          <w:sz w:val="24"/>
          <w:szCs w:val="24"/>
        </w:rPr>
        <w:t xml:space="preserve">. As a result, Ecology is prioritizing the </w:t>
      </w:r>
      <w:r w:rsidR="00A949C7" w:rsidRPr="008C1981">
        <w:rPr>
          <w:sz w:val="24"/>
          <w:szCs w:val="24"/>
        </w:rPr>
        <w:t xml:space="preserve">products in the </w:t>
      </w:r>
      <w:r w:rsidR="0081371B" w:rsidRPr="008C1981">
        <w:rPr>
          <w:sz w:val="24"/>
          <w:szCs w:val="24"/>
        </w:rPr>
        <w:t>alternatives assessment based on</w:t>
      </w:r>
      <w:r w:rsidR="000A1B48" w:rsidRPr="008C1981">
        <w:rPr>
          <w:sz w:val="24"/>
          <w:szCs w:val="24"/>
        </w:rPr>
        <w:t xml:space="preserve"> product volume and availability of alternatives to focus on </w:t>
      </w:r>
      <w:r w:rsidR="0081371B" w:rsidRPr="008C1981">
        <w:rPr>
          <w:sz w:val="24"/>
          <w:szCs w:val="24"/>
        </w:rPr>
        <w:t xml:space="preserve">the most viable </w:t>
      </w:r>
      <w:r w:rsidR="006B775B" w:rsidRPr="008C1981">
        <w:rPr>
          <w:sz w:val="24"/>
          <w:szCs w:val="24"/>
        </w:rPr>
        <w:t>options</w:t>
      </w:r>
      <w:r w:rsidR="008E2FCB" w:rsidRPr="008C1981">
        <w:rPr>
          <w:sz w:val="24"/>
          <w:szCs w:val="24"/>
        </w:rPr>
        <w:t xml:space="preserve"> </w:t>
      </w:r>
      <w:r w:rsidR="00837AD1" w:rsidRPr="008C1981">
        <w:rPr>
          <w:sz w:val="24"/>
          <w:szCs w:val="24"/>
        </w:rPr>
        <w:t>(</w:t>
      </w:r>
      <w:r w:rsidR="000A1B48" w:rsidRPr="008C1981">
        <w:rPr>
          <w:sz w:val="24"/>
          <w:szCs w:val="24"/>
        </w:rPr>
        <w:t xml:space="preserve">considering the </w:t>
      </w:r>
      <w:r w:rsidR="0081371B" w:rsidRPr="008C1981">
        <w:rPr>
          <w:sz w:val="24"/>
          <w:szCs w:val="24"/>
        </w:rPr>
        <w:t xml:space="preserve">agency’s </w:t>
      </w:r>
      <w:r w:rsidR="006B775B" w:rsidRPr="008C1981">
        <w:rPr>
          <w:sz w:val="24"/>
          <w:szCs w:val="24"/>
        </w:rPr>
        <w:t>timeline and budget</w:t>
      </w:r>
      <w:r w:rsidR="00837AD1" w:rsidRPr="008C1981">
        <w:rPr>
          <w:sz w:val="24"/>
          <w:szCs w:val="24"/>
        </w:rPr>
        <w:t>)</w:t>
      </w:r>
      <w:r w:rsidR="008E2FCB" w:rsidRPr="008C1981">
        <w:rPr>
          <w:sz w:val="24"/>
          <w:szCs w:val="24"/>
        </w:rPr>
        <w:t xml:space="preserve">. </w:t>
      </w:r>
    </w:p>
    <w:p w14:paraId="743C838A" w14:textId="77777777" w:rsidR="00EB2BCD" w:rsidRPr="008C1981" w:rsidRDefault="0081371B">
      <w:pPr>
        <w:rPr>
          <w:sz w:val="24"/>
          <w:szCs w:val="24"/>
        </w:rPr>
      </w:pPr>
      <w:r w:rsidRPr="008C1981">
        <w:rPr>
          <w:sz w:val="24"/>
          <w:szCs w:val="24"/>
        </w:rPr>
        <w:t>Ecology is reviewing product categories and material</w:t>
      </w:r>
      <w:r w:rsidR="00837AD1" w:rsidRPr="008C1981">
        <w:rPr>
          <w:sz w:val="24"/>
          <w:szCs w:val="24"/>
        </w:rPr>
        <w:t>s</w:t>
      </w:r>
      <w:r w:rsidRPr="008C1981">
        <w:rPr>
          <w:sz w:val="24"/>
          <w:szCs w:val="24"/>
        </w:rPr>
        <w:t xml:space="preserve"> use</w:t>
      </w:r>
      <w:r w:rsidR="00837AD1" w:rsidRPr="008C1981">
        <w:rPr>
          <w:sz w:val="24"/>
          <w:szCs w:val="24"/>
        </w:rPr>
        <w:t>d</w:t>
      </w:r>
      <w:r w:rsidRPr="008C1981">
        <w:rPr>
          <w:sz w:val="24"/>
          <w:szCs w:val="24"/>
        </w:rPr>
        <w:t xml:space="preserve"> based on </w:t>
      </w:r>
      <w:r w:rsidR="00837AD1" w:rsidRPr="008C1981">
        <w:rPr>
          <w:sz w:val="24"/>
          <w:szCs w:val="24"/>
        </w:rPr>
        <w:t xml:space="preserve">the following </w:t>
      </w:r>
      <w:r w:rsidRPr="008C1981">
        <w:rPr>
          <w:sz w:val="24"/>
          <w:szCs w:val="24"/>
        </w:rPr>
        <w:t xml:space="preserve">prioritization </w:t>
      </w:r>
      <w:r w:rsidR="00AC0B8B" w:rsidRPr="008C1981">
        <w:rPr>
          <w:sz w:val="24"/>
          <w:szCs w:val="24"/>
        </w:rPr>
        <w:t>principles</w:t>
      </w:r>
      <w:r w:rsidR="004B39D9" w:rsidRPr="008C1981">
        <w:rPr>
          <w:sz w:val="24"/>
          <w:szCs w:val="24"/>
        </w:rPr>
        <w:t>:</w:t>
      </w:r>
      <w:r w:rsidR="008E2FCB" w:rsidRPr="008C1981">
        <w:rPr>
          <w:sz w:val="24"/>
          <w:szCs w:val="24"/>
        </w:rPr>
        <w:t xml:space="preserve"> </w:t>
      </w:r>
    </w:p>
    <w:p w14:paraId="508F46FC" w14:textId="7AE0D51C" w:rsidR="00EB2BCD" w:rsidRPr="008C1981" w:rsidRDefault="004B39D9" w:rsidP="00135E27">
      <w:pPr>
        <w:pStyle w:val="ListParagraph"/>
        <w:numPr>
          <w:ilvl w:val="0"/>
          <w:numId w:val="10"/>
        </w:numPr>
        <w:rPr>
          <w:sz w:val="24"/>
          <w:szCs w:val="24"/>
        </w:rPr>
      </w:pPr>
      <w:r w:rsidRPr="008C1981">
        <w:rPr>
          <w:b/>
          <w:sz w:val="24"/>
          <w:szCs w:val="24"/>
        </w:rPr>
        <w:t>Market share:</w:t>
      </w:r>
      <w:r w:rsidRPr="008C1981">
        <w:rPr>
          <w:sz w:val="24"/>
          <w:szCs w:val="24"/>
        </w:rPr>
        <w:t xml:space="preserve"> </w:t>
      </w:r>
      <w:r w:rsidR="00AC0B8B" w:rsidRPr="008C1981">
        <w:rPr>
          <w:sz w:val="24"/>
          <w:szCs w:val="24"/>
        </w:rPr>
        <w:t xml:space="preserve">Ecology </w:t>
      </w:r>
      <w:r w:rsidRPr="008C1981">
        <w:rPr>
          <w:sz w:val="24"/>
          <w:szCs w:val="24"/>
        </w:rPr>
        <w:t>will prioritize product categories that occupy larger percentages of the food packaging market.</w:t>
      </w:r>
      <w:r w:rsidR="008F3743">
        <w:rPr>
          <w:sz w:val="24"/>
          <w:szCs w:val="24"/>
        </w:rPr>
        <w:t xml:space="preserve"> </w:t>
      </w:r>
    </w:p>
    <w:p w14:paraId="23A31A13" w14:textId="77777777" w:rsidR="004B39D9" w:rsidRPr="008C1981" w:rsidRDefault="004B39D9" w:rsidP="00135E27">
      <w:pPr>
        <w:pStyle w:val="ListParagraph"/>
        <w:numPr>
          <w:ilvl w:val="0"/>
          <w:numId w:val="10"/>
        </w:numPr>
        <w:rPr>
          <w:sz w:val="24"/>
          <w:szCs w:val="24"/>
        </w:rPr>
      </w:pPr>
      <w:r w:rsidRPr="008C1981">
        <w:rPr>
          <w:b/>
          <w:sz w:val="24"/>
          <w:szCs w:val="24"/>
        </w:rPr>
        <w:t>Available alternatives:</w:t>
      </w:r>
      <w:r w:rsidRPr="008C1981">
        <w:rPr>
          <w:sz w:val="24"/>
          <w:szCs w:val="24"/>
        </w:rPr>
        <w:t xml:space="preserve"> </w:t>
      </w:r>
      <w:r w:rsidR="00AC0B8B" w:rsidRPr="008C1981">
        <w:rPr>
          <w:sz w:val="24"/>
          <w:szCs w:val="24"/>
        </w:rPr>
        <w:t xml:space="preserve">Ecology </w:t>
      </w:r>
      <w:r w:rsidRPr="008C1981">
        <w:rPr>
          <w:sz w:val="24"/>
          <w:szCs w:val="24"/>
        </w:rPr>
        <w:t>will prioritize product categories where we know PFAS-free food packaging products are available and used.</w:t>
      </w:r>
    </w:p>
    <w:p w14:paraId="432C0D4A" w14:textId="77777777" w:rsidR="004B39D9" w:rsidRPr="008C1981" w:rsidRDefault="004B39D9" w:rsidP="00135E27">
      <w:pPr>
        <w:pStyle w:val="ListParagraph"/>
        <w:numPr>
          <w:ilvl w:val="0"/>
          <w:numId w:val="10"/>
        </w:numPr>
        <w:rPr>
          <w:sz w:val="24"/>
          <w:szCs w:val="24"/>
        </w:rPr>
      </w:pPr>
      <w:r w:rsidRPr="008C1981">
        <w:rPr>
          <w:b/>
          <w:sz w:val="24"/>
          <w:szCs w:val="24"/>
        </w:rPr>
        <w:t>Safer alternatives:</w:t>
      </w:r>
      <w:r w:rsidRPr="008C1981">
        <w:rPr>
          <w:sz w:val="24"/>
          <w:szCs w:val="24"/>
        </w:rPr>
        <w:t xml:space="preserve"> </w:t>
      </w:r>
      <w:r w:rsidR="00AC0B8B" w:rsidRPr="008C1981">
        <w:rPr>
          <w:sz w:val="24"/>
          <w:szCs w:val="24"/>
        </w:rPr>
        <w:t xml:space="preserve">Ecology </w:t>
      </w:r>
      <w:r w:rsidRPr="008C1981">
        <w:rPr>
          <w:sz w:val="24"/>
          <w:szCs w:val="24"/>
        </w:rPr>
        <w:t xml:space="preserve">will prioritize product categories where known alternatives are found on </w:t>
      </w:r>
      <w:r w:rsidR="003254A8" w:rsidRPr="008C1981">
        <w:rPr>
          <w:sz w:val="24"/>
          <w:szCs w:val="24"/>
        </w:rPr>
        <w:t xml:space="preserve">the </w:t>
      </w:r>
      <w:r w:rsidR="00AC0B8B" w:rsidRPr="008C1981">
        <w:rPr>
          <w:sz w:val="24"/>
          <w:szCs w:val="24"/>
        </w:rPr>
        <w:t xml:space="preserve">U.S. </w:t>
      </w:r>
      <w:r w:rsidR="003254A8" w:rsidRPr="008C1981">
        <w:rPr>
          <w:sz w:val="24"/>
          <w:szCs w:val="24"/>
        </w:rPr>
        <w:t xml:space="preserve">Environmental Protection Agency’s </w:t>
      </w:r>
      <w:r w:rsidRPr="008C1981">
        <w:rPr>
          <w:sz w:val="24"/>
          <w:szCs w:val="24"/>
        </w:rPr>
        <w:t xml:space="preserve">Safer Chemical Ingredients List </w:t>
      </w:r>
      <w:r w:rsidR="00A949C7" w:rsidRPr="008C1981">
        <w:rPr>
          <w:sz w:val="24"/>
          <w:szCs w:val="24"/>
        </w:rPr>
        <w:t xml:space="preserve">(SCIL) </w:t>
      </w:r>
      <w:r w:rsidRPr="008C1981">
        <w:rPr>
          <w:sz w:val="24"/>
          <w:szCs w:val="24"/>
        </w:rPr>
        <w:t>or are comprised of materials known to be of low concern (e.g. paper, aluminum)</w:t>
      </w:r>
      <w:r w:rsidR="003254A8" w:rsidRPr="008C1981">
        <w:rPr>
          <w:sz w:val="24"/>
          <w:szCs w:val="24"/>
        </w:rPr>
        <w:t>.</w:t>
      </w:r>
    </w:p>
    <w:p w14:paraId="0C06A72E" w14:textId="77777777" w:rsidR="008706E8" w:rsidRPr="008C1981" w:rsidRDefault="00837AD1" w:rsidP="00135E27">
      <w:pPr>
        <w:pStyle w:val="ListParagraph"/>
        <w:numPr>
          <w:ilvl w:val="0"/>
          <w:numId w:val="10"/>
        </w:numPr>
        <w:rPr>
          <w:sz w:val="24"/>
          <w:szCs w:val="24"/>
        </w:rPr>
      </w:pPr>
      <w:r w:rsidRPr="008C1981">
        <w:rPr>
          <w:b/>
          <w:sz w:val="24"/>
          <w:szCs w:val="24"/>
        </w:rPr>
        <w:t>State efficiency and environmental performance:</w:t>
      </w:r>
      <w:r w:rsidRPr="008C1981">
        <w:rPr>
          <w:sz w:val="24"/>
          <w:szCs w:val="24"/>
        </w:rPr>
        <w:t xml:space="preserve"> </w:t>
      </w:r>
      <w:r w:rsidR="00AC0B8B" w:rsidRPr="008C1981">
        <w:rPr>
          <w:sz w:val="24"/>
          <w:szCs w:val="24"/>
        </w:rPr>
        <w:t xml:space="preserve">Ecology </w:t>
      </w:r>
      <w:r w:rsidRPr="008C1981">
        <w:rPr>
          <w:sz w:val="24"/>
          <w:szCs w:val="24"/>
        </w:rPr>
        <w:t xml:space="preserve">will </w:t>
      </w:r>
      <w:r w:rsidR="00AC0B8B" w:rsidRPr="008C1981">
        <w:rPr>
          <w:sz w:val="24"/>
          <w:szCs w:val="24"/>
        </w:rPr>
        <w:t xml:space="preserve">identify </w:t>
      </w:r>
      <w:r w:rsidRPr="008C1981">
        <w:rPr>
          <w:sz w:val="24"/>
          <w:szCs w:val="24"/>
        </w:rPr>
        <w:t xml:space="preserve">product categories based on </w:t>
      </w:r>
      <w:r w:rsidR="008706E8" w:rsidRPr="008C1981">
        <w:rPr>
          <w:sz w:val="24"/>
          <w:szCs w:val="24"/>
        </w:rPr>
        <w:t xml:space="preserve">recyclability and compostability, as </w:t>
      </w:r>
      <w:r w:rsidRPr="008C1981">
        <w:rPr>
          <w:sz w:val="24"/>
          <w:szCs w:val="24"/>
        </w:rPr>
        <w:t xml:space="preserve">outlined </w:t>
      </w:r>
      <w:r w:rsidR="008706E8" w:rsidRPr="008C1981">
        <w:rPr>
          <w:sz w:val="24"/>
          <w:szCs w:val="24"/>
        </w:rPr>
        <w:t xml:space="preserve">in Executive Order 20-10 issued by Governor Jay Inslee. </w:t>
      </w:r>
    </w:p>
    <w:p w14:paraId="76483446" w14:textId="65206A4F" w:rsidR="0044277B" w:rsidRDefault="00D92A25" w:rsidP="00D92A25">
      <w:pPr>
        <w:rPr>
          <w:sz w:val="24"/>
          <w:szCs w:val="24"/>
        </w:rPr>
      </w:pPr>
      <w:r w:rsidRPr="008C1981">
        <w:rPr>
          <w:sz w:val="24"/>
          <w:szCs w:val="24"/>
        </w:rPr>
        <w:t>Ecology is using th</w:t>
      </w:r>
      <w:r w:rsidR="00AC0B8B" w:rsidRPr="008C1981">
        <w:rPr>
          <w:sz w:val="24"/>
          <w:szCs w:val="24"/>
        </w:rPr>
        <w:t xml:space="preserve">ese principles to help </w:t>
      </w:r>
      <w:r w:rsidRPr="008C1981">
        <w:rPr>
          <w:sz w:val="24"/>
          <w:szCs w:val="24"/>
        </w:rPr>
        <w:t xml:space="preserve">prioritize </w:t>
      </w:r>
      <w:r w:rsidR="008F3743">
        <w:rPr>
          <w:sz w:val="24"/>
          <w:szCs w:val="24"/>
        </w:rPr>
        <w:t xml:space="preserve">and narrow </w:t>
      </w:r>
      <w:r w:rsidRPr="008C1981">
        <w:rPr>
          <w:sz w:val="24"/>
          <w:szCs w:val="24"/>
        </w:rPr>
        <w:t xml:space="preserve">the initial selection of products and alternatives for the assessment. </w:t>
      </w:r>
    </w:p>
    <w:p w14:paraId="2140D991" w14:textId="77777777" w:rsidR="00A706CB" w:rsidRDefault="00A706CB">
      <w:pPr>
        <w:rPr>
          <w:sz w:val="24"/>
          <w:szCs w:val="24"/>
        </w:rPr>
      </w:pPr>
      <w:r>
        <w:rPr>
          <w:sz w:val="24"/>
          <w:szCs w:val="24"/>
        </w:rPr>
        <w:br w:type="page"/>
      </w:r>
    </w:p>
    <w:p w14:paraId="4B0A53D8" w14:textId="22047D1F" w:rsidR="00D92A25" w:rsidRPr="008C1981" w:rsidRDefault="00860C79" w:rsidP="00D92A25">
      <w:pPr>
        <w:rPr>
          <w:sz w:val="24"/>
          <w:szCs w:val="24"/>
        </w:rPr>
      </w:pPr>
      <w:r w:rsidRPr="008C1981">
        <w:rPr>
          <w:sz w:val="24"/>
          <w:szCs w:val="24"/>
        </w:rPr>
        <w:lastRenderedPageBreak/>
        <w:t>Table 1</w:t>
      </w:r>
      <w:r w:rsidR="00D92A25" w:rsidRPr="008C1981">
        <w:rPr>
          <w:sz w:val="24"/>
          <w:szCs w:val="24"/>
        </w:rPr>
        <w:t xml:space="preserve"> </w:t>
      </w:r>
      <w:r w:rsidRPr="008C1981">
        <w:rPr>
          <w:sz w:val="24"/>
          <w:szCs w:val="24"/>
        </w:rPr>
        <w:t>contains</w:t>
      </w:r>
      <w:r w:rsidR="00D92A25" w:rsidRPr="008C1981">
        <w:rPr>
          <w:sz w:val="24"/>
          <w:szCs w:val="24"/>
        </w:rPr>
        <w:t xml:space="preserve"> the alternative materials </w:t>
      </w:r>
      <w:r w:rsidRPr="008C1981">
        <w:rPr>
          <w:sz w:val="24"/>
          <w:szCs w:val="24"/>
        </w:rPr>
        <w:t xml:space="preserve">in the product categories </w:t>
      </w:r>
      <w:r w:rsidR="0044277B">
        <w:rPr>
          <w:sz w:val="24"/>
          <w:szCs w:val="24"/>
        </w:rPr>
        <w:t xml:space="preserve">Ecology </w:t>
      </w:r>
      <w:r w:rsidRPr="008C1981">
        <w:rPr>
          <w:sz w:val="24"/>
          <w:szCs w:val="24"/>
        </w:rPr>
        <w:t xml:space="preserve">identified. Table 2 contains alternative chemicals in these products and an initial assessment of their level of concern.  </w:t>
      </w:r>
      <w:r w:rsidR="008C1981">
        <w:rPr>
          <w:sz w:val="24"/>
          <w:szCs w:val="24"/>
        </w:rPr>
        <w:t>The Chemical Abstract Service (C</w:t>
      </w:r>
      <w:r w:rsidRPr="008C1981">
        <w:rPr>
          <w:sz w:val="24"/>
          <w:szCs w:val="24"/>
        </w:rPr>
        <w:t>AS</w:t>
      </w:r>
      <w:r w:rsidR="008C1981">
        <w:rPr>
          <w:sz w:val="24"/>
          <w:szCs w:val="24"/>
        </w:rPr>
        <w:t>)</w:t>
      </w:r>
      <w:r w:rsidRPr="008C1981">
        <w:rPr>
          <w:sz w:val="24"/>
          <w:szCs w:val="24"/>
        </w:rPr>
        <w:t xml:space="preserve"> numbers </w:t>
      </w:r>
      <w:r w:rsidR="0044277B">
        <w:rPr>
          <w:sz w:val="24"/>
          <w:szCs w:val="24"/>
        </w:rPr>
        <w:t xml:space="preserve">are provided </w:t>
      </w:r>
      <w:r w:rsidR="00947654">
        <w:rPr>
          <w:sz w:val="24"/>
          <w:szCs w:val="24"/>
        </w:rPr>
        <w:t xml:space="preserve">for </w:t>
      </w:r>
      <w:r w:rsidR="0044277B">
        <w:rPr>
          <w:sz w:val="24"/>
          <w:szCs w:val="24"/>
        </w:rPr>
        <w:t>t</w:t>
      </w:r>
      <w:r w:rsidRPr="008C1981">
        <w:rPr>
          <w:sz w:val="24"/>
          <w:szCs w:val="24"/>
        </w:rPr>
        <w:t xml:space="preserve">he specific chemicals that are on EPA’s SCIL. </w:t>
      </w:r>
    </w:p>
    <w:p w14:paraId="663F6D64" w14:textId="77777777" w:rsidR="00D92A25" w:rsidRPr="008C1981" w:rsidRDefault="00860C79" w:rsidP="00D92A25">
      <w:pPr>
        <w:rPr>
          <w:b/>
          <w:bCs/>
          <w:sz w:val="24"/>
          <w:szCs w:val="24"/>
        </w:rPr>
      </w:pPr>
      <w:r w:rsidRPr="008C1981">
        <w:rPr>
          <w:b/>
          <w:bCs/>
          <w:sz w:val="24"/>
          <w:szCs w:val="24"/>
        </w:rPr>
        <w:t>Table 1</w:t>
      </w:r>
      <w:r w:rsidR="0044277B">
        <w:rPr>
          <w:b/>
          <w:bCs/>
          <w:sz w:val="24"/>
          <w:szCs w:val="24"/>
        </w:rPr>
        <w:t>.</w:t>
      </w:r>
      <w:r w:rsidRPr="008C1981">
        <w:rPr>
          <w:b/>
          <w:bCs/>
          <w:sz w:val="24"/>
          <w:szCs w:val="24"/>
        </w:rPr>
        <w:t xml:space="preserve"> </w:t>
      </w:r>
      <w:r w:rsidR="00D92A25" w:rsidRPr="008C1981">
        <w:rPr>
          <w:b/>
          <w:bCs/>
          <w:sz w:val="24"/>
          <w:szCs w:val="24"/>
        </w:rPr>
        <w:t xml:space="preserve">Priority Alternative Materials and Products by Category </w:t>
      </w:r>
    </w:p>
    <w:tbl>
      <w:tblPr>
        <w:tblStyle w:val="TableGrid"/>
        <w:tblW w:w="0" w:type="auto"/>
        <w:tblLook w:val="04A0" w:firstRow="1" w:lastRow="0" w:firstColumn="1" w:lastColumn="0" w:noHBand="0" w:noVBand="1"/>
      </w:tblPr>
      <w:tblGrid>
        <w:gridCol w:w="3116"/>
        <w:gridCol w:w="3117"/>
        <w:gridCol w:w="3117"/>
      </w:tblGrid>
      <w:tr w:rsidR="00D92A25" w:rsidRPr="008C1981" w14:paraId="70E81090" w14:textId="77777777" w:rsidTr="000F389A">
        <w:tc>
          <w:tcPr>
            <w:tcW w:w="3116" w:type="dxa"/>
          </w:tcPr>
          <w:p w14:paraId="2A54930F" w14:textId="77777777" w:rsidR="00D92A25" w:rsidRPr="008C1981" w:rsidRDefault="00D92A25" w:rsidP="000F389A">
            <w:pPr>
              <w:rPr>
                <w:b/>
                <w:bCs/>
                <w:sz w:val="24"/>
                <w:szCs w:val="24"/>
              </w:rPr>
            </w:pPr>
            <w:r w:rsidRPr="008C1981">
              <w:rPr>
                <w:b/>
                <w:bCs/>
                <w:sz w:val="24"/>
                <w:szCs w:val="24"/>
              </w:rPr>
              <w:t>Wraps/Liners</w:t>
            </w:r>
          </w:p>
        </w:tc>
        <w:tc>
          <w:tcPr>
            <w:tcW w:w="3117" w:type="dxa"/>
          </w:tcPr>
          <w:p w14:paraId="099A7859" w14:textId="77777777" w:rsidR="00D92A25" w:rsidRPr="008C1981" w:rsidRDefault="00D92A25" w:rsidP="000F389A">
            <w:pPr>
              <w:rPr>
                <w:b/>
                <w:bCs/>
                <w:sz w:val="24"/>
                <w:szCs w:val="24"/>
              </w:rPr>
            </w:pPr>
            <w:r w:rsidRPr="008C1981">
              <w:rPr>
                <w:b/>
                <w:bCs/>
                <w:sz w:val="24"/>
                <w:szCs w:val="24"/>
              </w:rPr>
              <w:t>Dinnerware</w:t>
            </w:r>
          </w:p>
        </w:tc>
        <w:tc>
          <w:tcPr>
            <w:tcW w:w="3117" w:type="dxa"/>
          </w:tcPr>
          <w:p w14:paraId="0607B644" w14:textId="77777777" w:rsidR="00D92A25" w:rsidRPr="008C1981" w:rsidRDefault="00D92A25" w:rsidP="000F389A">
            <w:pPr>
              <w:rPr>
                <w:b/>
                <w:bCs/>
                <w:sz w:val="24"/>
                <w:szCs w:val="24"/>
              </w:rPr>
            </w:pPr>
            <w:r w:rsidRPr="008C1981">
              <w:rPr>
                <w:b/>
                <w:bCs/>
                <w:sz w:val="24"/>
                <w:szCs w:val="24"/>
              </w:rPr>
              <w:t>Takeout Containers</w:t>
            </w:r>
          </w:p>
        </w:tc>
      </w:tr>
      <w:tr w:rsidR="00D92A25" w:rsidRPr="008C1981" w14:paraId="288CF2E2" w14:textId="77777777" w:rsidTr="008C1981">
        <w:tc>
          <w:tcPr>
            <w:tcW w:w="3116" w:type="dxa"/>
            <w:shd w:val="clear" w:color="auto" w:fill="auto"/>
          </w:tcPr>
          <w:p w14:paraId="11D0578E" w14:textId="77777777" w:rsidR="00D92A25" w:rsidRPr="008C1981" w:rsidRDefault="00D92A25" w:rsidP="000F389A">
            <w:pPr>
              <w:rPr>
                <w:sz w:val="24"/>
                <w:szCs w:val="24"/>
              </w:rPr>
            </w:pPr>
            <w:r w:rsidRPr="008C1981">
              <w:rPr>
                <w:sz w:val="24"/>
                <w:szCs w:val="24"/>
              </w:rPr>
              <w:t>Wax coated</w:t>
            </w:r>
          </w:p>
        </w:tc>
        <w:tc>
          <w:tcPr>
            <w:tcW w:w="3117" w:type="dxa"/>
            <w:shd w:val="clear" w:color="auto" w:fill="auto"/>
          </w:tcPr>
          <w:p w14:paraId="00BBA427" w14:textId="7DB3155E" w:rsidR="00D92A25" w:rsidRPr="008C1981" w:rsidRDefault="00947654" w:rsidP="000F389A">
            <w:pPr>
              <w:rPr>
                <w:sz w:val="24"/>
                <w:szCs w:val="24"/>
              </w:rPr>
            </w:pPr>
            <w:r>
              <w:rPr>
                <w:sz w:val="24"/>
                <w:szCs w:val="24"/>
              </w:rPr>
              <w:t>Polylactide (</w:t>
            </w:r>
            <w:r w:rsidR="00D92A25" w:rsidRPr="008C1981">
              <w:rPr>
                <w:sz w:val="24"/>
                <w:szCs w:val="24"/>
              </w:rPr>
              <w:t>PLA</w:t>
            </w:r>
            <w:r>
              <w:rPr>
                <w:sz w:val="24"/>
                <w:szCs w:val="24"/>
              </w:rPr>
              <w:t>)</w:t>
            </w:r>
            <w:r w:rsidR="00D92A25" w:rsidRPr="008C1981">
              <w:rPr>
                <w:sz w:val="24"/>
                <w:szCs w:val="24"/>
              </w:rPr>
              <w:t xml:space="preserve"> foam</w:t>
            </w:r>
          </w:p>
        </w:tc>
        <w:tc>
          <w:tcPr>
            <w:tcW w:w="3117" w:type="dxa"/>
            <w:shd w:val="clear" w:color="auto" w:fill="auto"/>
          </w:tcPr>
          <w:p w14:paraId="39951D2C" w14:textId="20722C16" w:rsidR="00D92A25" w:rsidRPr="008C1981" w:rsidRDefault="00D92A25" w:rsidP="000F389A">
            <w:pPr>
              <w:rPr>
                <w:sz w:val="24"/>
                <w:szCs w:val="24"/>
              </w:rPr>
            </w:pPr>
            <w:r w:rsidRPr="008C1981">
              <w:rPr>
                <w:sz w:val="24"/>
                <w:szCs w:val="24"/>
              </w:rPr>
              <w:t>P</w:t>
            </w:r>
            <w:r w:rsidR="00BE02F8">
              <w:rPr>
                <w:sz w:val="24"/>
                <w:szCs w:val="24"/>
              </w:rPr>
              <w:t>olylactide</w:t>
            </w:r>
            <w:r w:rsidRPr="008C1981">
              <w:rPr>
                <w:sz w:val="24"/>
                <w:szCs w:val="24"/>
              </w:rPr>
              <w:t xml:space="preserve"> coated</w:t>
            </w:r>
          </w:p>
        </w:tc>
      </w:tr>
      <w:tr w:rsidR="00D92A25" w:rsidRPr="008C1981" w14:paraId="3A3ABBDF" w14:textId="77777777" w:rsidTr="008C1981">
        <w:tc>
          <w:tcPr>
            <w:tcW w:w="3116" w:type="dxa"/>
            <w:shd w:val="clear" w:color="auto" w:fill="auto"/>
          </w:tcPr>
          <w:p w14:paraId="424E9B7F" w14:textId="77777777" w:rsidR="00D92A25" w:rsidRPr="008C1981" w:rsidRDefault="00D92A25" w:rsidP="000F389A">
            <w:pPr>
              <w:rPr>
                <w:sz w:val="24"/>
                <w:szCs w:val="24"/>
              </w:rPr>
            </w:pPr>
            <w:r w:rsidRPr="008C1981">
              <w:rPr>
                <w:sz w:val="24"/>
                <w:szCs w:val="24"/>
              </w:rPr>
              <w:t>Silicone coated or infused</w:t>
            </w:r>
          </w:p>
        </w:tc>
        <w:tc>
          <w:tcPr>
            <w:tcW w:w="3117" w:type="dxa"/>
            <w:shd w:val="clear" w:color="auto" w:fill="auto"/>
          </w:tcPr>
          <w:p w14:paraId="5CB03758" w14:textId="77777777" w:rsidR="00D92A25" w:rsidRPr="008C1981" w:rsidRDefault="00D92A25" w:rsidP="000F389A">
            <w:pPr>
              <w:rPr>
                <w:sz w:val="24"/>
                <w:szCs w:val="24"/>
              </w:rPr>
            </w:pPr>
            <w:r w:rsidRPr="008C1981">
              <w:rPr>
                <w:sz w:val="24"/>
                <w:szCs w:val="24"/>
              </w:rPr>
              <w:t>Clay coated</w:t>
            </w:r>
          </w:p>
        </w:tc>
        <w:tc>
          <w:tcPr>
            <w:tcW w:w="3117" w:type="dxa"/>
            <w:shd w:val="clear" w:color="auto" w:fill="auto"/>
          </w:tcPr>
          <w:p w14:paraId="6F480D7F" w14:textId="5712152B" w:rsidR="00D92A25" w:rsidRPr="008C1981" w:rsidRDefault="00D92A25" w:rsidP="000F389A">
            <w:pPr>
              <w:rPr>
                <w:sz w:val="24"/>
                <w:szCs w:val="24"/>
              </w:rPr>
            </w:pPr>
            <w:r w:rsidRPr="008C1981">
              <w:rPr>
                <w:sz w:val="24"/>
                <w:szCs w:val="24"/>
              </w:rPr>
              <w:t>P</w:t>
            </w:r>
            <w:r w:rsidR="00BE02F8">
              <w:rPr>
                <w:sz w:val="24"/>
                <w:szCs w:val="24"/>
              </w:rPr>
              <w:t>olyvinyl alcohol</w:t>
            </w:r>
            <w:r w:rsidRPr="008C1981">
              <w:rPr>
                <w:sz w:val="24"/>
                <w:szCs w:val="24"/>
              </w:rPr>
              <w:t xml:space="preserve"> coated</w:t>
            </w:r>
          </w:p>
        </w:tc>
      </w:tr>
      <w:tr w:rsidR="00D92A25" w:rsidRPr="008C1981" w14:paraId="6F371E02" w14:textId="77777777" w:rsidTr="008C1981">
        <w:tc>
          <w:tcPr>
            <w:tcW w:w="3116" w:type="dxa"/>
            <w:shd w:val="clear" w:color="auto" w:fill="auto"/>
          </w:tcPr>
          <w:p w14:paraId="7A4621DD" w14:textId="77777777" w:rsidR="00D92A25" w:rsidRPr="008C1981" w:rsidRDefault="00D92A25" w:rsidP="000F389A">
            <w:pPr>
              <w:rPr>
                <w:sz w:val="24"/>
                <w:szCs w:val="24"/>
              </w:rPr>
            </w:pPr>
            <w:r w:rsidRPr="008C1981">
              <w:rPr>
                <w:sz w:val="24"/>
                <w:szCs w:val="24"/>
              </w:rPr>
              <w:t>Uncoated paper</w:t>
            </w:r>
          </w:p>
        </w:tc>
        <w:tc>
          <w:tcPr>
            <w:tcW w:w="3117" w:type="dxa"/>
            <w:shd w:val="clear" w:color="auto" w:fill="auto"/>
          </w:tcPr>
          <w:p w14:paraId="6F8E22E7" w14:textId="6BC2EFE8" w:rsidR="00D92A25" w:rsidRPr="008C1981" w:rsidRDefault="00D92A25" w:rsidP="000F389A">
            <w:pPr>
              <w:rPr>
                <w:sz w:val="24"/>
                <w:szCs w:val="24"/>
              </w:rPr>
            </w:pPr>
            <w:r w:rsidRPr="008C1981">
              <w:rPr>
                <w:sz w:val="24"/>
                <w:szCs w:val="24"/>
              </w:rPr>
              <w:t>P</w:t>
            </w:r>
            <w:r w:rsidR="00947654">
              <w:rPr>
                <w:sz w:val="24"/>
                <w:szCs w:val="24"/>
              </w:rPr>
              <w:t>olyethylene</w:t>
            </w:r>
            <w:r w:rsidRPr="008C1981">
              <w:rPr>
                <w:sz w:val="24"/>
                <w:szCs w:val="24"/>
              </w:rPr>
              <w:t xml:space="preserve"> coated</w:t>
            </w:r>
          </w:p>
        </w:tc>
        <w:tc>
          <w:tcPr>
            <w:tcW w:w="3117" w:type="dxa"/>
            <w:shd w:val="clear" w:color="auto" w:fill="auto"/>
          </w:tcPr>
          <w:p w14:paraId="3ADDEF6E" w14:textId="307A7697" w:rsidR="00D92A25" w:rsidRPr="008C1981" w:rsidRDefault="00D92A25" w:rsidP="000F389A">
            <w:pPr>
              <w:rPr>
                <w:sz w:val="24"/>
                <w:szCs w:val="24"/>
              </w:rPr>
            </w:pPr>
            <w:r w:rsidRPr="008C1981">
              <w:rPr>
                <w:sz w:val="24"/>
                <w:szCs w:val="24"/>
              </w:rPr>
              <w:t>P</w:t>
            </w:r>
            <w:r w:rsidR="00BE02F8">
              <w:rPr>
                <w:sz w:val="24"/>
                <w:szCs w:val="24"/>
              </w:rPr>
              <w:t>olyethylene</w:t>
            </w:r>
            <w:r w:rsidRPr="008C1981">
              <w:rPr>
                <w:sz w:val="24"/>
                <w:szCs w:val="24"/>
              </w:rPr>
              <w:t xml:space="preserve"> coated</w:t>
            </w:r>
          </w:p>
        </w:tc>
      </w:tr>
      <w:tr w:rsidR="00D92A25" w:rsidRPr="008C1981" w14:paraId="77FAC7B4" w14:textId="77777777" w:rsidTr="008C1981">
        <w:tc>
          <w:tcPr>
            <w:tcW w:w="3116" w:type="dxa"/>
            <w:shd w:val="clear" w:color="auto" w:fill="auto"/>
          </w:tcPr>
          <w:p w14:paraId="308724C5" w14:textId="65245A7E" w:rsidR="00D92A25" w:rsidRPr="008C1981" w:rsidRDefault="00947654" w:rsidP="000F389A">
            <w:pPr>
              <w:rPr>
                <w:sz w:val="24"/>
                <w:szCs w:val="24"/>
              </w:rPr>
            </w:pPr>
            <w:r>
              <w:rPr>
                <w:sz w:val="24"/>
                <w:szCs w:val="24"/>
              </w:rPr>
              <w:t>Polyvinyl alcohol</w:t>
            </w:r>
            <w:r w:rsidRPr="008C1981">
              <w:rPr>
                <w:sz w:val="24"/>
                <w:szCs w:val="24"/>
              </w:rPr>
              <w:t xml:space="preserve"> </w:t>
            </w:r>
            <w:r w:rsidR="00D92A25" w:rsidRPr="008C1981">
              <w:rPr>
                <w:sz w:val="24"/>
                <w:szCs w:val="24"/>
              </w:rPr>
              <w:t>coated</w:t>
            </w:r>
          </w:p>
        </w:tc>
        <w:tc>
          <w:tcPr>
            <w:tcW w:w="3117" w:type="dxa"/>
            <w:shd w:val="clear" w:color="auto" w:fill="auto"/>
          </w:tcPr>
          <w:p w14:paraId="4B9A5EBA" w14:textId="7CC47774" w:rsidR="00D92A25" w:rsidRPr="008C1981" w:rsidRDefault="009A718E" w:rsidP="000F389A">
            <w:pPr>
              <w:rPr>
                <w:sz w:val="24"/>
                <w:szCs w:val="24"/>
              </w:rPr>
            </w:pPr>
            <w:r>
              <w:rPr>
                <w:sz w:val="24"/>
                <w:szCs w:val="24"/>
              </w:rPr>
              <w:t>Polyethylene</w:t>
            </w:r>
            <w:r w:rsidR="00947654">
              <w:rPr>
                <w:sz w:val="24"/>
                <w:szCs w:val="24"/>
              </w:rPr>
              <w:t xml:space="preserve"> terephthalate</w:t>
            </w:r>
            <w:r w:rsidR="00D92A25" w:rsidRPr="008C1981">
              <w:rPr>
                <w:sz w:val="24"/>
                <w:szCs w:val="24"/>
              </w:rPr>
              <w:t xml:space="preserve"> coated</w:t>
            </w:r>
          </w:p>
        </w:tc>
        <w:tc>
          <w:tcPr>
            <w:tcW w:w="3117" w:type="dxa"/>
            <w:shd w:val="clear" w:color="auto" w:fill="auto"/>
          </w:tcPr>
          <w:p w14:paraId="7C30D225" w14:textId="77777777" w:rsidR="00D92A25" w:rsidRPr="008C1981" w:rsidRDefault="00D92A25" w:rsidP="000F389A">
            <w:pPr>
              <w:rPr>
                <w:sz w:val="24"/>
                <w:szCs w:val="24"/>
              </w:rPr>
            </w:pPr>
            <w:r w:rsidRPr="008C1981">
              <w:rPr>
                <w:sz w:val="24"/>
                <w:szCs w:val="24"/>
              </w:rPr>
              <w:t>Clay coated</w:t>
            </w:r>
          </w:p>
        </w:tc>
      </w:tr>
      <w:tr w:rsidR="00D92A25" w:rsidRPr="008C1981" w14:paraId="1FEB3CBD" w14:textId="77777777" w:rsidTr="008C1981">
        <w:tc>
          <w:tcPr>
            <w:tcW w:w="3116" w:type="dxa"/>
            <w:shd w:val="clear" w:color="auto" w:fill="auto"/>
          </w:tcPr>
          <w:p w14:paraId="6ACC44BE" w14:textId="77777777" w:rsidR="00D92A25" w:rsidRPr="008C1981" w:rsidRDefault="00D92A25" w:rsidP="000F389A">
            <w:pPr>
              <w:rPr>
                <w:sz w:val="24"/>
                <w:szCs w:val="24"/>
              </w:rPr>
            </w:pPr>
          </w:p>
        </w:tc>
        <w:tc>
          <w:tcPr>
            <w:tcW w:w="3117" w:type="dxa"/>
            <w:shd w:val="clear" w:color="auto" w:fill="auto"/>
          </w:tcPr>
          <w:p w14:paraId="39760CB5" w14:textId="770B8BF1" w:rsidR="00D92A25" w:rsidRPr="008C1981" w:rsidRDefault="00BE02F8" w:rsidP="000F389A">
            <w:pPr>
              <w:rPr>
                <w:sz w:val="24"/>
                <w:szCs w:val="24"/>
              </w:rPr>
            </w:pPr>
            <w:r>
              <w:rPr>
                <w:sz w:val="24"/>
                <w:szCs w:val="24"/>
              </w:rPr>
              <w:t>Polyvinyl alcohol</w:t>
            </w:r>
            <w:r w:rsidR="00D92A25" w:rsidRPr="008C1981">
              <w:rPr>
                <w:sz w:val="24"/>
                <w:szCs w:val="24"/>
              </w:rPr>
              <w:t xml:space="preserve"> coated</w:t>
            </w:r>
          </w:p>
        </w:tc>
        <w:tc>
          <w:tcPr>
            <w:tcW w:w="3117" w:type="dxa"/>
            <w:shd w:val="clear" w:color="auto" w:fill="auto"/>
          </w:tcPr>
          <w:p w14:paraId="00D253F3" w14:textId="110486E1" w:rsidR="00D92A25" w:rsidRPr="008C1981" w:rsidRDefault="00BE02F8" w:rsidP="000F389A">
            <w:pPr>
              <w:rPr>
                <w:sz w:val="24"/>
                <w:szCs w:val="24"/>
              </w:rPr>
            </w:pPr>
            <w:r>
              <w:rPr>
                <w:sz w:val="24"/>
                <w:szCs w:val="24"/>
              </w:rPr>
              <w:t>Polylactide</w:t>
            </w:r>
            <w:r w:rsidR="00D92A25" w:rsidRPr="008C1981">
              <w:rPr>
                <w:sz w:val="24"/>
                <w:szCs w:val="24"/>
              </w:rPr>
              <w:t xml:space="preserve"> plastic</w:t>
            </w:r>
          </w:p>
        </w:tc>
      </w:tr>
      <w:tr w:rsidR="00D92A25" w:rsidRPr="008C1981" w14:paraId="42AF9100" w14:textId="77777777" w:rsidTr="000F389A">
        <w:tc>
          <w:tcPr>
            <w:tcW w:w="3116" w:type="dxa"/>
          </w:tcPr>
          <w:p w14:paraId="1E85DFA0" w14:textId="77777777" w:rsidR="00D92A25" w:rsidRPr="008C1981" w:rsidRDefault="00D92A25" w:rsidP="000F389A">
            <w:pPr>
              <w:rPr>
                <w:sz w:val="24"/>
                <w:szCs w:val="24"/>
              </w:rPr>
            </w:pPr>
          </w:p>
        </w:tc>
        <w:tc>
          <w:tcPr>
            <w:tcW w:w="3117" w:type="dxa"/>
          </w:tcPr>
          <w:p w14:paraId="10E0CE9D" w14:textId="75B70F9F" w:rsidR="00D92A25" w:rsidRPr="008C1981" w:rsidRDefault="00BE02F8" w:rsidP="000F389A">
            <w:pPr>
              <w:rPr>
                <w:sz w:val="24"/>
                <w:szCs w:val="24"/>
              </w:rPr>
            </w:pPr>
            <w:r>
              <w:rPr>
                <w:sz w:val="24"/>
                <w:szCs w:val="24"/>
              </w:rPr>
              <w:t>Polylactide</w:t>
            </w:r>
            <w:r w:rsidR="00D92A25" w:rsidRPr="008C1981">
              <w:rPr>
                <w:sz w:val="24"/>
                <w:szCs w:val="24"/>
              </w:rPr>
              <w:t xml:space="preserve"> coated</w:t>
            </w:r>
          </w:p>
        </w:tc>
        <w:tc>
          <w:tcPr>
            <w:tcW w:w="3117" w:type="dxa"/>
          </w:tcPr>
          <w:p w14:paraId="1B6311D3" w14:textId="77777777" w:rsidR="00D92A25" w:rsidRPr="008C1981" w:rsidRDefault="00D92A25" w:rsidP="000F389A">
            <w:pPr>
              <w:rPr>
                <w:sz w:val="24"/>
                <w:szCs w:val="24"/>
              </w:rPr>
            </w:pPr>
          </w:p>
        </w:tc>
      </w:tr>
    </w:tbl>
    <w:p w14:paraId="645A77D0" w14:textId="77777777" w:rsidR="00D92A25" w:rsidRPr="008C1981" w:rsidRDefault="00D92A25" w:rsidP="00D92A25">
      <w:pPr>
        <w:rPr>
          <w:sz w:val="24"/>
          <w:szCs w:val="24"/>
        </w:rPr>
      </w:pPr>
    </w:p>
    <w:p w14:paraId="7DB361BE" w14:textId="77777777" w:rsidR="00D92A25" w:rsidRPr="008C1981" w:rsidRDefault="00860C79" w:rsidP="00D92A25">
      <w:pPr>
        <w:rPr>
          <w:b/>
          <w:bCs/>
          <w:sz w:val="24"/>
          <w:szCs w:val="24"/>
        </w:rPr>
      </w:pPr>
      <w:r w:rsidRPr="008C1981">
        <w:rPr>
          <w:b/>
          <w:bCs/>
          <w:sz w:val="24"/>
          <w:szCs w:val="24"/>
        </w:rPr>
        <w:t>Table 2</w:t>
      </w:r>
      <w:r w:rsidR="0044277B">
        <w:rPr>
          <w:b/>
          <w:bCs/>
          <w:sz w:val="24"/>
          <w:szCs w:val="24"/>
        </w:rPr>
        <w:t>.</w:t>
      </w:r>
      <w:r w:rsidRPr="008C1981">
        <w:rPr>
          <w:b/>
          <w:bCs/>
          <w:sz w:val="24"/>
          <w:szCs w:val="24"/>
        </w:rPr>
        <w:t xml:space="preserve"> </w:t>
      </w:r>
      <w:r w:rsidR="00D92A25" w:rsidRPr="008C1981">
        <w:rPr>
          <w:b/>
          <w:bCs/>
          <w:sz w:val="24"/>
          <w:szCs w:val="24"/>
        </w:rPr>
        <w:t>Alternative</w:t>
      </w:r>
      <w:r w:rsidRPr="008C1981">
        <w:rPr>
          <w:b/>
          <w:bCs/>
          <w:sz w:val="24"/>
          <w:szCs w:val="24"/>
        </w:rPr>
        <w:t xml:space="preserve"> Chemicals</w:t>
      </w:r>
      <w:r w:rsidR="00D92A25" w:rsidRPr="008C1981">
        <w:rPr>
          <w:b/>
          <w:bCs/>
          <w:sz w:val="24"/>
          <w:szCs w:val="24"/>
        </w:rPr>
        <w:t xml:space="preserve"> for Hazard Evaluation </w:t>
      </w:r>
    </w:p>
    <w:tbl>
      <w:tblPr>
        <w:tblStyle w:val="TableGrid"/>
        <w:tblW w:w="0" w:type="auto"/>
        <w:tblLook w:val="04A0" w:firstRow="1" w:lastRow="0" w:firstColumn="1" w:lastColumn="0" w:noHBand="0" w:noVBand="1"/>
      </w:tblPr>
      <w:tblGrid>
        <w:gridCol w:w="2065"/>
        <w:gridCol w:w="4168"/>
        <w:gridCol w:w="3117"/>
      </w:tblGrid>
      <w:tr w:rsidR="00D92A25" w:rsidRPr="008C1981" w14:paraId="3AD21CE2" w14:textId="77777777" w:rsidTr="000F389A">
        <w:tc>
          <w:tcPr>
            <w:tcW w:w="2065" w:type="dxa"/>
          </w:tcPr>
          <w:p w14:paraId="65B9A78A" w14:textId="77777777" w:rsidR="00D92A25" w:rsidRPr="008C1981" w:rsidRDefault="00D92A25" w:rsidP="000F389A">
            <w:pPr>
              <w:rPr>
                <w:b/>
                <w:bCs/>
                <w:sz w:val="24"/>
                <w:szCs w:val="24"/>
              </w:rPr>
            </w:pPr>
            <w:r w:rsidRPr="008C1981">
              <w:rPr>
                <w:b/>
                <w:bCs/>
                <w:sz w:val="24"/>
                <w:szCs w:val="24"/>
              </w:rPr>
              <w:t xml:space="preserve">Low Concern </w:t>
            </w:r>
          </w:p>
        </w:tc>
        <w:tc>
          <w:tcPr>
            <w:tcW w:w="4168" w:type="dxa"/>
          </w:tcPr>
          <w:p w14:paraId="1E5D3A2B" w14:textId="77777777" w:rsidR="00D92A25" w:rsidRPr="008C1981" w:rsidRDefault="00D92A25" w:rsidP="000F389A">
            <w:pPr>
              <w:rPr>
                <w:b/>
                <w:bCs/>
                <w:sz w:val="24"/>
                <w:szCs w:val="24"/>
              </w:rPr>
            </w:pPr>
            <w:r w:rsidRPr="008C1981">
              <w:rPr>
                <w:b/>
                <w:bCs/>
                <w:sz w:val="24"/>
                <w:szCs w:val="24"/>
              </w:rPr>
              <w:t>EPA SCIL (green circle)</w:t>
            </w:r>
          </w:p>
        </w:tc>
        <w:tc>
          <w:tcPr>
            <w:tcW w:w="3117" w:type="dxa"/>
          </w:tcPr>
          <w:p w14:paraId="798D3FB6" w14:textId="77777777" w:rsidR="00D92A25" w:rsidRPr="008C1981" w:rsidRDefault="00D92A25" w:rsidP="008C1981">
            <w:pPr>
              <w:rPr>
                <w:b/>
                <w:bCs/>
                <w:sz w:val="24"/>
                <w:szCs w:val="24"/>
              </w:rPr>
            </w:pPr>
            <w:r w:rsidRPr="008C1981">
              <w:rPr>
                <w:b/>
                <w:bCs/>
                <w:sz w:val="24"/>
                <w:szCs w:val="24"/>
              </w:rPr>
              <w:t xml:space="preserve">Hazard Evaluation </w:t>
            </w:r>
            <w:r w:rsidR="0044277B">
              <w:rPr>
                <w:b/>
                <w:bCs/>
                <w:sz w:val="24"/>
                <w:szCs w:val="24"/>
              </w:rPr>
              <w:t>Candidates</w:t>
            </w:r>
          </w:p>
        </w:tc>
      </w:tr>
      <w:tr w:rsidR="00D92A25" w:rsidRPr="008C1981" w14:paraId="6EC8B197" w14:textId="77777777" w:rsidTr="000F389A">
        <w:tc>
          <w:tcPr>
            <w:tcW w:w="2065" w:type="dxa"/>
          </w:tcPr>
          <w:p w14:paraId="29AAD601" w14:textId="77777777" w:rsidR="00D92A25" w:rsidRPr="008C1981" w:rsidRDefault="00D92A25" w:rsidP="000F389A">
            <w:pPr>
              <w:rPr>
                <w:bCs/>
                <w:sz w:val="24"/>
                <w:szCs w:val="24"/>
              </w:rPr>
            </w:pPr>
            <w:r w:rsidRPr="008C1981">
              <w:rPr>
                <w:bCs/>
                <w:sz w:val="24"/>
                <w:szCs w:val="24"/>
              </w:rPr>
              <w:t>Uncoated paper</w:t>
            </w:r>
          </w:p>
        </w:tc>
        <w:tc>
          <w:tcPr>
            <w:tcW w:w="4168" w:type="dxa"/>
          </w:tcPr>
          <w:p w14:paraId="6FCCE4F7" w14:textId="77777777" w:rsidR="00947654" w:rsidRPr="00947654" w:rsidRDefault="00947654" w:rsidP="00947654">
            <w:pPr>
              <w:rPr>
                <w:bCs/>
                <w:sz w:val="24"/>
                <w:szCs w:val="24"/>
              </w:rPr>
            </w:pPr>
            <w:r w:rsidRPr="00947654">
              <w:rPr>
                <w:bCs/>
                <w:sz w:val="24"/>
                <w:szCs w:val="24"/>
              </w:rPr>
              <w:t>Petroleum wax</w:t>
            </w:r>
            <w:r w:rsidRPr="00947654">
              <w:rPr>
                <w:bCs/>
                <w:sz w:val="24"/>
                <w:szCs w:val="24"/>
                <w:vertAlign w:val="superscript"/>
              </w:rPr>
              <w:t>1</w:t>
            </w:r>
            <w:r w:rsidRPr="00947654">
              <w:rPr>
                <w:bCs/>
                <w:sz w:val="24"/>
                <w:szCs w:val="24"/>
              </w:rPr>
              <w:t xml:space="preserve"> </w:t>
            </w:r>
          </w:p>
          <w:p w14:paraId="19E0BE48" w14:textId="0ADF3536" w:rsidR="00D92A25" w:rsidRPr="008C1981" w:rsidRDefault="00D92A25" w:rsidP="000F389A">
            <w:pPr>
              <w:rPr>
                <w:bCs/>
                <w:sz w:val="24"/>
                <w:szCs w:val="24"/>
              </w:rPr>
            </w:pPr>
          </w:p>
        </w:tc>
        <w:tc>
          <w:tcPr>
            <w:tcW w:w="3117" w:type="dxa"/>
          </w:tcPr>
          <w:p w14:paraId="5DF0826E" w14:textId="5E2E4EAB" w:rsidR="00D92A25" w:rsidRPr="008C1981" w:rsidRDefault="00D92A25" w:rsidP="000F389A">
            <w:pPr>
              <w:rPr>
                <w:bCs/>
                <w:sz w:val="24"/>
                <w:szCs w:val="24"/>
              </w:rPr>
            </w:pPr>
            <w:r w:rsidRPr="008C1981">
              <w:rPr>
                <w:bCs/>
                <w:sz w:val="24"/>
                <w:szCs w:val="24"/>
              </w:rPr>
              <w:t>Silicone</w:t>
            </w:r>
            <w:r w:rsidR="00947654">
              <w:rPr>
                <w:bCs/>
                <w:sz w:val="24"/>
                <w:szCs w:val="24"/>
              </w:rPr>
              <w:t xml:space="preserve"> coatings</w:t>
            </w:r>
          </w:p>
        </w:tc>
      </w:tr>
      <w:tr w:rsidR="00D92A25" w:rsidRPr="008C1981" w14:paraId="77AF055E" w14:textId="77777777" w:rsidTr="000F389A">
        <w:tc>
          <w:tcPr>
            <w:tcW w:w="2065" w:type="dxa"/>
          </w:tcPr>
          <w:p w14:paraId="2451E2D2" w14:textId="77777777" w:rsidR="00D92A25" w:rsidRPr="008C1981" w:rsidRDefault="00D92A25" w:rsidP="000F389A">
            <w:pPr>
              <w:rPr>
                <w:bCs/>
                <w:sz w:val="24"/>
                <w:szCs w:val="24"/>
              </w:rPr>
            </w:pPr>
            <w:r w:rsidRPr="008C1981">
              <w:rPr>
                <w:bCs/>
                <w:sz w:val="24"/>
                <w:szCs w:val="24"/>
              </w:rPr>
              <w:t xml:space="preserve">Aluminum </w:t>
            </w:r>
          </w:p>
        </w:tc>
        <w:tc>
          <w:tcPr>
            <w:tcW w:w="4168" w:type="dxa"/>
          </w:tcPr>
          <w:p w14:paraId="02E3CAF0" w14:textId="77777777" w:rsidR="00947654" w:rsidRPr="00947654" w:rsidRDefault="00947654" w:rsidP="00947654">
            <w:pPr>
              <w:rPr>
                <w:bCs/>
                <w:sz w:val="24"/>
                <w:szCs w:val="24"/>
              </w:rPr>
            </w:pPr>
            <w:r w:rsidRPr="00947654">
              <w:rPr>
                <w:bCs/>
                <w:sz w:val="24"/>
                <w:szCs w:val="24"/>
              </w:rPr>
              <w:t>Bio-based wax</w:t>
            </w:r>
            <w:r w:rsidRPr="00947654">
              <w:rPr>
                <w:bCs/>
                <w:sz w:val="24"/>
                <w:szCs w:val="24"/>
                <w:vertAlign w:val="superscript"/>
              </w:rPr>
              <w:t>2</w:t>
            </w:r>
            <w:r w:rsidRPr="00947654">
              <w:rPr>
                <w:bCs/>
                <w:sz w:val="24"/>
                <w:szCs w:val="24"/>
              </w:rPr>
              <w:t xml:space="preserve"> </w:t>
            </w:r>
          </w:p>
          <w:p w14:paraId="74775A98" w14:textId="30090234" w:rsidR="00D92A25" w:rsidRPr="008C1981" w:rsidRDefault="00D92A25" w:rsidP="000F389A">
            <w:pPr>
              <w:rPr>
                <w:bCs/>
                <w:sz w:val="24"/>
                <w:szCs w:val="24"/>
              </w:rPr>
            </w:pPr>
          </w:p>
        </w:tc>
        <w:tc>
          <w:tcPr>
            <w:tcW w:w="3117" w:type="dxa"/>
          </w:tcPr>
          <w:p w14:paraId="392623DF" w14:textId="77777777" w:rsidR="00947654" w:rsidRPr="00947654" w:rsidRDefault="00947654" w:rsidP="00947654">
            <w:pPr>
              <w:rPr>
                <w:bCs/>
                <w:sz w:val="24"/>
                <w:szCs w:val="24"/>
              </w:rPr>
            </w:pPr>
            <w:r w:rsidRPr="00947654">
              <w:rPr>
                <w:bCs/>
                <w:sz w:val="24"/>
                <w:szCs w:val="24"/>
              </w:rPr>
              <w:t xml:space="preserve">Polyvinyl alcohol coatings </w:t>
            </w:r>
          </w:p>
          <w:p w14:paraId="21DB5DED" w14:textId="64A65776" w:rsidR="00D92A25" w:rsidRPr="008C1981" w:rsidRDefault="00D92A25" w:rsidP="000F389A">
            <w:pPr>
              <w:rPr>
                <w:bCs/>
                <w:sz w:val="24"/>
                <w:szCs w:val="24"/>
              </w:rPr>
            </w:pPr>
          </w:p>
        </w:tc>
      </w:tr>
      <w:tr w:rsidR="00D92A25" w:rsidRPr="008C1981" w14:paraId="6811971B" w14:textId="77777777" w:rsidTr="000F389A">
        <w:tc>
          <w:tcPr>
            <w:tcW w:w="2065" w:type="dxa"/>
          </w:tcPr>
          <w:p w14:paraId="106DD0CD" w14:textId="77777777" w:rsidR="00D92A25" w:rsidRPr="008C1981" w:rsidRDefault="00D92A25" w:rsidP="000F389A">
            <w:pPr>
              <w:rPr>
                <w:bCs/>
                <w:sz w:val="24"/>
                <w:szCs w:val="24"/>
              </w:rPr>
            </w:pPr>
          </w:p>
        </w:tc>
        <w:tc>
          <w:tcPr>
            <w:tcW w:w="4168" w:type="dxa"/>
          </w:tcPr>
          <w:p w14:paraId="125AAA04" w14:textId="700F3ADE" w:rsidR="00947654" w:rsidRPr="00947654" w:rsidRDefault="00947654" w:rsidP="00947654">
            <w:pPr>
              <w:rPr>
                <w:bCs/>
                <w:sz w:val="24"/>
                <w:szCs w:val="24"/>
              </w:rPr>
            </w:pPr>
            <w:r w:rsidRPr="00947654">
              <w:rPr>
                <w:bCs/>
                <w:sz w:val="24"/>
                <w:szCs w:val="24"/>
              </w:rPr>
              <w:t>Kaolin clay (CAS 1332-58-7)</w:t>
            </w:r>
          </w:p>
          <w:p w14:paraId="5FF00071" w14:textId="5C762A26" w:rsidR="00D92A25" w:rsidRPr="008C1981" w:rsidRDefault="00D92A25" w:rsidP="000F389A">
            <w:pPr>
              <w:rPr>
                <w:bCs/>
                <w:sz w:val="24"/>
                <w:szCs w:val="24"/>
              </w:rPr>
            </w:pPr>
          </w:p>
        </w:tc>
        <w:tc>
          <w:tcPr>
            <w:tcW w:w="3117" w:type="dxa"/>
          </w:tcPr>
          <w:p w14:paraId="154DE331" w14:textId="3C3BDD4E" w:rsidR="00D92A25" w:rsidRPr="008C1981" w:rsidRDefault="00947654" w:rsidP="000F389A">
            <w:pPr>
              <w:rPr>
                <w:bCs/>
                <w:sz w:val="24"/>
                <w:szCs w:val="24"/>
              </w:rPr>
            </w:pPr>
            <w:r>
              <w:rPr>
                <w:bCs/>
                <w:sz w:val="24"/>
                <w:szCs w:val="24"/>
              </w:rPr>
              <w:t>Polylactide</w:t>
            </w:r>
            <w:r w:rsidRPr="008C1981">
              <w:rPr>
                <w:bCs/>
                <w:sz w:val="24"/>
                <w:szCs w:val="24"/>
              </w:rPr>
              <w:t xml:space="preserve"> </w:t>
            </w:r>
            <w:r w:rsidR="00D92A25" w:rsidRPr="008C1981">
              <w:rPr>
                <w:bCs/>
                <w:sz w:val="24"/>
                <w:szCs w:val="24"/>
              </w:rPr>
              <w:t>(foam, plastic, coating)</w:t>
            </w:r>
          </w:p>
        </w:tc>
      </w:tr>
      <w:tr w:rsidR="00D92A25" w:rsidRPr="008C1981" w14:paraId="69141C3E" w14:textId="77777777" w:rsidTr="000F389A">
        <w:tc>
          <w:tcPr>
            <w:tcW w:w="2065" w:type="dxa"/>
          </w:tcPr>
          <w:p w14:paraId="05DECB84" w14:textId="77777777" w:rsidR="00D92A25" w:rsidRPr="008C1981" w:rsidRDefault="00D92A25" w:rsidP="000F389A">
            <w:pPr>
              <w:rPr>
                <w:bCs/>
                <w:sz w:val="24"/>
                <w:szCs w:val="24"/>
              </w:rPr>
            </w:pPr>
          </w:p>
        </w:tc>
        <w:tc>
          <w:tcPr>
            <w:tcW w:w="4168" w:type="dxa"/>
          </w:tcPr>
          <w:p w14:paraId="4F323F39" w14:textId="77777777" w:rsidR="00D92A25" w:rsidRPr="008C1981" w:rsidRDefault="00D92A25" w:rsidP="000F389A">
            <w:pPr>
              <w:rPr>
                <w:bCs/>
                <w:sz w:val="24"/>
                <w:szCs w:val="24"/>
              </w:rPr>
            </w:pPr>
          </w:p>
        </w:tc>
        <w:tc>
          <w:tcPr>
            <w:tcW w:w="3117" w:type="dxa"/>
          </w:tcPr>
          <w:p w14:paraId="416FE066" w14:textId="77777777" w:rsidR="00947654" w:rsidRPr="00947654" w:rsidRDefault="00947654" w:rsidP="00947654">
            <w:pPr>
              <w:rPr>
                <w:bCs/>
                <w:sz w:val="24"/>
                <w:szCs w:val="24"/>
              </w:rPr>
            </w:pPr>
            <w:r w:rsidRPr="00947654">
              <w:rPr>
                <w:bCs/>
                <w:sz w:val="24"/>
                <w:szCs w:val="24"/>
              </w:rPr>
              <w:t>Polyethylene coatings</w:t>
            </w:r>
          </w:p>
          <w:p w14:paraId="55B0575B" w14:textId="5FA5C995" w:rsidR="00D92A25" w:rsidRPr="008C1981" w:rsidRDefault="00D92A25" w:rsidP="000F389A">
            <w:pPr>
              <w:rPr>
                <w:bCs/>
                <w:sz w:val="24"/>
                <w:szCs w:val="24"/>
              </w:rPr>
            </w:pPr>
          </w:p>
        </w:tc>
      </w:tr>
      <w:tr w:rsidR="00D92A25" w:rsidRPr="008C1981" w14:paraId="7F8A2705" w14:textId="77777777" w:rsidTr="000F389A">
        <w:tc>
          <w:tcPr>
            <w:tcW w:w="2065" w:type="dxa"/>
          </w:tcPr>
          <w:p w14:paraId="438C5CBA" w14:textId="77777777" w:rsidR="00D92A25" w:rsidRPr="008C1981" w:rsidRDefault="00D92A25" w:rsidP="000F389A">
            <w:pPr>
              <w:rPr>
                <w:bCs/>
                <w:sz w:val="24"/>
                <w:szCs w:val="24"/>
              </w:rPr>
            </w:pPr>
          </w:p>
        </w:tc>
        <w:tc>
          <w:tcPr>
            <w:tcW w:w="4168" w:type="dxa"/>
          </w:tcPr>
          <w:p w14:paraId="7ACE1C1D" w14:textId="77777777" w:rsidR="00D92A25" w:rsidRPr="008C1981" w:rsidRDefault="00D92A25" w:rsidP="000F389A">
            <w:pPr>
              <w:rPr>
                <w:bCs/>
                <w:sz w:val="24"/>
                <w:szCs w:val="24"/>
              </w:rPr>
            </w:pPr>
          </w:p>
        </w:tc>
        <w:tc>
          <w:tcPr>
            <w:tcW w:w="3117" w:type="dxa"/>
          </w:tcPr>
          <w:p w14:paraId="089E65A7" w14:textId="77777777" w:rsidR="00947654" w:rsidRPr="00947654" w:rsidRDefault="00947654" w:rsidP="00947654">
            <w:pPr>
              <w:rPr>
                <w:bCs/>
                <w:sz w:val="24"/>
                <w:szCs w:val="24"/>
              </w:rPr>
            </w:pPr>
            <w:r w:rsidRPr="00947654">
              <w:rPr>
                <w:bCs/>
                <w:sz w:val="24"/>
                <w:szCs w:val="24"/>
              </w:rPr>
              <w:t>Polyethylene terephthalate coatings</w:t>
            </w:r>
          </w:p>
          <w:p w14:paraId="50198EDA" w14:textId="76334792" w:rsidR="00D92A25" w:rsidRPr="008C1981" w:rsidRDefault="00D92A25" w:rsidP="000F389A">
            <w:pPr>
              <w:rPr>
                <w:bCs/>
                <w:sz w:val="24"/>
                <w:szCs w:val="24"/>
              </w:rPr>
            </w:pPr>
          </w:p>
        </w:tc>
      </w:tr>
      <w:tr w:rsidR="00860C79" w:rsidRPr="008C1981" w14:paraId="0FAB4EBD" w14:textId="77777777" w:rsidTr="000F389A">
        <w:tc>
          <w:tcPr>
            <w:tcW w:w="2065" w:type="dxa"/>
          </w:tcPr>
          <w:p w14:paraId="7207E53F" w14:textId="77777777" w:rsidR="00860C79" w:rsidRPr="008C1981" w:rsidRDefault="00860C79" w:rsidP="000F389A">
            <w:pPr>
              <w:rPr>
                <w:bCs/>
                <w:sz w:val="24"/>
                <w:szCs w:val="24"/>
              </w:rPr>
            </w:pPr>
          </w:p>
        </w:tc>
        <w:tc>
          <w:tcPr>
            <w:tcW w:w="4168" w:type="dxa"/>
          </w:tcPr>
          <w:p w14:paraId="33F29A99" w14:textId="77777777" w:rsidR="00860C79" w:rsidRPr="008C1981" w:rsidRDefault="00860C79" w:rsidP="000F389A">
            <w:pPr>
              <w:rPr>
                <w:bCs/>
                <w:sz w:val="24"/>
                <w:szCs w:val="24"/>
              </w:rPr>
            </w:pPr>
          </w:p>
        </w:tc>
        <w:tc>
          <w:tcPr>
            <w:tcW w:w="3117" w:type="dxa"/>
          </w:tcPr>
          <w:p w14:paraId="7D21AB08" w14:textId="77777777" w:rsidR="00860C79" w:rsidRPr="008C1981" w:rsidRDefault="00860C79" w:rsidP="000F389A">
            <w:pPr>
              <w:rPr>
                <w:bCs/>
                <w:sz w:val="24"/>
                <w:szCs w:val="24"/>
              </w:rPr>
            </w:pPr>
            <w:r w:rsidRPr="008C1981">
              <w:rPr>
                <w:bCs/>
                <w:sz w:val="24"/>
                <w:szCs w:val="24"/>
              </w:rPr>
              <w:t>Additives, contaminants, and degradation products</w:t>
            </w:r>
          </w:p>
        </w:tc>
      </w:tr>
    </w:tbl>
    <w:p w14:paraId="66F22468" w14:textId="7253F61C" w:rsidR="00947654" w:rsidRPr="009A718E" w:rsidRDefault="00947654" w:rsidP="009A718E">
      <w:pPr>
        <w:numPr>
          <w:ilvl w:val="0"/>
          <w:numId w:val="12"/>
        </w:numPr>
        <w:spacing w:after="0" w:line="240" w:lineRule="auto"/>
        <w:rPr>
          <w:sz w:val="18"/>
          <w:szCs w:val="18"/>
        </w:rPr>
      </w:pPr>
      <w:r w:rsidRPr="009A718E">
        <w:rPr>
          <w:sz w:val="18"/>
          <w:szCs w:val="18"/>
        </w:rPr>
        <w:t xml:space="preserve">Related </w:t>
      </w:r>
      <w:hyperlink r:id="rId8" w:history="1">
        <w:r w:rsidRPr="009A718E">
          <w:rPr>
            <w:rStyle w:val="Hyperlink"/>
            <w:sz w:val="18"/>
            <w:szCs w:val="18"/>
          </w:rPr>
          <w:t>EPA SCIL</w:t>
        </w:r>
      </w:hyperlink>
      <w:r w:rsidRPr="009A718E">
        <w:rPr>
          <w:sz w:val="18"/>
          <w:szCs w:val="18"/>
        </w:rPr>
        <w:t xml:space="preserve"> listings </w:t>
      </w:r>
      <w:r>
        <w:rPr>
          <w:sz w:val="18"/>
          <w:szCs w:val="18"/>
        </w:rPr>
        <w:t>includes</w:t>
      </w:r>
      <w:r w:rsidRPr="009A718E">
        <w:rPr>
          <w:sz w:val="18"/>
          <w:szCs w:val="18"/>
        </w:rPr>
        <w:t xml:space="preserve"> Paraffin waxes, petroleum, clay-treated (CAS 64742-43-4) and Paraffin waxes, petroleum, hydrotreated (CAS 64742-51-4) </w:t>
      </w:r>
    </w:p>
    <w:p w14:paraId="726B99A5" w14:textId="677D7063" w:rsidR="00947654" w:rsidRPr="009A718E" w:rsidRDefault="00947654" w:rsidP="009A718E">
      <w:pPr>
        <w:numPr>
          <w:ilvl w:val="0"/>
          <w:numId w:val="12"/>
        </w:numPr>
        <w:spacing w:after="0" w:line="240" w:lineRule="auto"/>
        <w:rPr>
          <w:sz w:val="18"/>
          <w:szCs w:val="18"/>
        </w:rPr>
      </w:pPr>
      <w:r w:rsidRPr="009A718E">
        <w:rPr>
          <w:sz w:val="18"/>
          <w:szCs w:val="18"/>
        </w:rPr>
        <w:t xml:space="preserve">Related EPA SCIL listings may include </w:t>
      </w:r>
      <w:r w:rsidR="008958B9">
        <w:rPr>
          <w:sz w:val="18"/>
          <w:szCs w:val="18"/>
        </w:rPr>
        <w:t>s</w:t>
      </w:r>
      <w:r w:rsidRPr="009A718E">
        <w:rPr>
          <w:sz w:val="18"/>
          <w:szCs w:val="18"/>
        </w:rPr>
        <w:t xml:space="preserve">oybean oil and soybean oil derivatives that could be hydrogenated to produce waxy substances: soybean oil (CAS 8001-22-7), soybean oil fatty acids (CAS 68308-53-2), soybean oil, methyl esters (CAS 67784-80-9), and soybean oil, sulfated, sodium salt (CAS 61790-16-7) </w:t>
      </w:r>
    </w:p>
    <w:p w14:paraId="7D257B9F" w14:textId="1B2AF307" w:rsidR="00A706CB" w:rsidRDefault="00A706CB" w:rsidP="00D92A25">
      <w:pPr>
        <w:rPr>
          <w:sz w:val="28"/>
          <w:szCs w:val="28"/>
          <w:u w:val="single"/>
        </w:rPr>
      </w:pPr>
    </w:p>
    <w:p w14:paraId="482401F4" w14:textId="77777777" w:rsidR="00A706CB" w:rsidRDefault="00A706CB">
      <w:pPr>
        <w:rPr>
          <w:sz w:val="28"/>
          <w:szCs w:val="28"/>
          <w:u w:val="single"/>
        </w:rPr>
      </w:pPr>
      <w:r>
        <w:rPr>
          <w:sz w:val="28"/>
          <w:szCs w:val="28"/>
          <w:u w:val="single"/>
        </w:rPr>
        <w:br w:type="page"/>
      </w:r>
    </w:p>
    <w:p w14:paraId="0B7FD386" w14:textId="19074D0F" w:rsidR="00D92A25" w:rsidRPr="00AF1EC5" w:rsidRDefault="0044277B" w:rsidP="00D92A25">
      <w:pPr>
        <w:rPr>
          <w:b/>
          <w:bCs/>
        </w:rPr>
      </w:pPr>
      <w:r>
        <w:rPr>
          <w:sz w:val="28"/>
          <w:szCs w:val="28"/>
          <w:u w:val="single"/>
        </w:rPr>
        <w:lastRenderedPageBreak/>
        <w:t xml:space="preserve">Functional Substitution: </w:t>
      </w:r>
      <w:r w:rsidR="00D92A25" w:rsidRPr="008C1981">
        <w:rPr>
          <w:sz w:val="28"/>
          <w:szCs w:val="28"/>
          <w:u w:val="single"/>
        </w:rPr>
        <w:t>Addressing Reusables as Potential Alternatives</w:t>
      </w:r>
      <w:r w:rsidR="00D92A25" w:rsidRPr="00AF1EC5">
        <w:rPr>
          <w:b/>
          <w:bCs/>
        </w:rPr>
        <w:t xml:space="preserve"> </w:t>
      </w:r>
    </w:p>
    <w:p w14:paraId="41E270CE" w14:textId="303BA752" w:rsidR="00D92A25" w:rsidRPr="008C1981" w:rsidRDefault="009A718E" w:rsidP="00D92A25">
      <w:pPr>
        <w:rPr>
          <w:sz w:val="24"/>
          <w:szCs w:val="24"/>
        </w:rPr>
      </w:pPr>
      <w:r>
        <w:rPr>
          <w:sz w:val="24"/>
          <w:szCs w:val="24"/>
        </w:rPr>
        <w:t xml:space="preserve">Reusable travel and to-go food containers are gaining interest as a viable available alternative.   </w:t>
      </w:r>
      <w:r w:rsidR="00D92A25" w:rsidRPr="008C1981">
        <w:rPr>
          <w:sz w:val="24"/>
          <w:szCs w:val="24"/>
        </w:rPr>
        <w:t xml:space="preserve">Certain market sectors and product lines have </w:t>
      </w:r>
      <w:r w:rsidR="003254A8" w:rsidRPr="008C1981">
        <w:rPr>
          <w:sz w:val="24"/>
          <w:szCs w:val="24"/>
        </w:rPr>
        <w:t xml:space="preserve">alternative reusable </w:t>
      </w:r>
      <w:r w:rsidR="00D92A25" w:rsidRPr="008C1981">
        <w:rPr>
          <w:sz w:val="24"/>
          <w:szCs w:val="24"/>
        </w:rPr>
        <w:t xml:space="preserve">options as opposed to single-use products (Wei et al. 2003; Clean Water Action). Examples include food trays and dinnerware in institutional, lodging and hospitality markets.  </w:t>
      </w:r>
    </w:p>
    <w:p w14:paraId="270E605C" w14:textId="77777777" w:rsidR="00860C79" w:rsidRPr="008C1981" w:rsidRDefault="00860C79">
      <w:pPr>
        <w:rPr>
          <w:sz w:val="28"/>
          <w:szCs w:val="28"/>
          <w:u w:val="single"/>
        </w:rPr>
      </w:pPr>
      <w:r w:rsidRPr="008C1981">
        <w:rPr>
          <w:sz w:val="28"/>
          <w:szCs w:val="28"/>
          <w:u w:val="single"/>
        </w:rPr>
        <w:t>Information Sources</w:t>
      </w:r>
    </w:p>
    <w:p w14:paraId="6D9374DF" w14:textId="77777777" w:rsidR="00ED0E45" w:rsidRPr="008C1981" w:rsidRDefault="00626F8D">
      <w:pPr>
        <w:rPr>
          <w:sz w:val="24"/>
          <w:szCs w:val="24"/>
        </w:rPr>
      </w:pPr>
      <w:r w:rsidRPr="008C1981">
        <w:rPr>
          <w:sz w:val="24"/>
          <w:szCs w:val="24"/>
        </w:rPr>
        <w:t xml:space="preserve">Ecology will continue reviewing the </w:t>
      </w:r>
      <w:r w:rsidR="00A949C7" w:rsidRPr="008C1981">
        <w:rPr>
          <w:sz w:val="24"/>
          <w:szCs w:val="24"/>
        </w:rPr>
        <w:t xml:space="preserve">information sources </w:t>
      </w:r>
      <w:r w:rsidRPr="008C1981">
        <w:rPr>
          <w:sz w:val="24"/>
          <w:szCs w:val="24"/>
        </w:rPr>
        <w:t>below</w:t>
      </w:r>
      <w:r w:rsidR="0044277B">
        <w:rPr>
          <w:sz w:val="24"/>
          <w:szCs w:val="24"/>
        </w:rPr>
        <w:t xml:space="preserve"> to assist with the prioritization effort</w:t>
      </w:r>
      <w:r w:rsidR="0081371B" w:rsidRPr="008C1981">
        <w:rPr>
          <w:sz w:val="24"/>
          <w:szCs w:val="24"/>
        </w:rPr>
        <w:t xml:space="preserve">: </w:t>
      </w:r>
      <w:r w:rsidR="00ED0E45" w:rsidRPr="008C1981">
        <w:rPr>
          <w:sz w:val="24"/>
          <w:szCs w:val="24"/>
        </w:rPr>
        <w:t xml:space="preserve">  </w:t>
      </w:r>
    </w:p>
    <w:p w14:paraId="4CF78BD8" w14:textId="77777777" w:rsidR="00DD5616" w:rsidRPr="008C1981" w:rsidRDefault="00C80C6B" w:rsidP="008C1981">
      <w:pPr>
        <w:pStyle w:val="ListParagraph"/>
        <w:numPr>
          <w:ilvl w:val="0"/>
          <w:numId w:val="9"/>
        </w:numPr>
        <w:ind w:left="720"/>
        <w:rPr>
          <w:sz w:val="24"/>
          <w:szCs w:val="24"/>
        </w:rPr>
      </w:pPr>
      <w:r w:rsidRPr="008C1981">
        <w:rPr>
          <w:b/>
          <w:sz w:val="24"/>
          <w:szCs w:val="24"/>
          <w:u w:val="single"/>
        </w:rPr>
        <w:t>Fre</w:t>
      </w:r>
      <w:r w:rsidR="00E23579" w:rsidRPr="008C1981">
        <w:rPr>
          <w:b/>
          <w:sz w:val="24"/>
          <w:szCs w:val="24"/>
          <w:u w:val="single"/>
        </w:rPr>
        <w:t>e</w:t>
      </w:r>
      <w:r w:rsidRPr="008C1981">
        <w:rPr>
          <w:b/>
          <w:sz w:val="24"/>
          <w:szCs w:val="24"/>
          <w:u w:val="single"/>
        </w:rPr>
        <w:t xml:space="preserve">donia Group </w:t>
      </w:r>
      <w:r w:rsidR="00F90A4B" w:rsidRPr="008C1981">
        <w:rPr>
          <w:b/>
          <w:sz w:val="24"/>
          <w:szCs w:val="24"/>
          <w:u w:val="single"/>
        </w:rPr>
        <w:t xml:space="preserve">Market </w:t>
      </w:r>
      <w:r w:rsidR="0081371B" w:rsidRPr="008C1981">
        <w:rPr>
          <w:b/>
          <w:sz w:val="24"/>
          <w:szCs w:val="24"/>
          <w:u w:val="single"/>
        </w:rPr>
        <w:t xml:space="preserve">Research </w:t>
      </w:r>
      <w:r w:rsidR="00F90A4B" w:rsidRPr="008C1981">
        <w:rPr>
          <w:b/>
          <w:sz w:val="24"/>
          <w:szCs w:val="24"/>
          <w:u w:val="single"/>
        </w:rPr>
        <w:t>Analysis</w:t>
      </w:r>
      <w:r w:rsidR="00D75983" w:rsidRPr="008C1981">
        <w:rPr>
          <w:sz w:val="24"/>
          <w:szCs w:val="24"/>
          <w:u w:val="single"/>
        </w:rPr>
        <w:t xml:space="preserve"> </w:t>
      </w:r>
      <w:r w:rsidR="008C1981" w:rsidRPr="008C1981">
        <w:rPr>
          <w:sz w:val="24"/>
          <w:szCs w:val="24"/>
          <w:u w:val="single"/>
        </w:rPr>
        <w:t xml:space="preserve">- </w:t>
      </w:r>
      <w:r w:rsidR="009271CC" w:rsidRPr="008C1981">
        <w:rPr>
          <w:sz w:val="24"/>
          <w:szCs w:val="24"/>
        </w:rPr>
        <w:t xml:space="preserve">Ecology is using </w:t>
      </w:r>
      <w:r w:rsidR="00D75983" w:rsidRPr="008C1981">
        <w:rPr>
          <w:sz w:val="24"/>
          <w:szCs w:val="24"/>
        </w:rPr>
        <w:t>The Freedonia Group</w:t>
      </w:r>
      <w:r w:rsidR="00AF1EC5" w:rsidRPr="008C1981">
        <w:rPr>
          <w:sz w:val="24"/>
          <w:szCs w:val="24"/>
        </w:rPr>
        <w:t xml:space="preserve"> (2017)</w:t>
      </w:r>
      <w:r w:rsidR="00D75983" w:rsidRPr="008C1981">
        <w:rPr>
          <w:sz w:val="24"/>
          <w:szCs w:val="24"/>
        </w:rPr>
        <w:t xml:space="preserve"> industry study on foodservice single-use products to identify the major producers</w:t>
      </w:r>
      <w:r w:rsidR="00626F8D" w:rsidRPr="008C1981">
        <w:rPr>
          <w:sz w:val="24"/>
          <w:szCs w:val="24"/>
        </w:rPr>
        <w:t xml:space="preserve"> and </w:t>
      </w:r>
      <w:r w:rsidR="00D75983" w:rsidRPr="008C1981">
        <w:rPr>
          <w:sz w:val="24"/>
          <w:szCs w:val="24"/>
        </w:rPr>
        <w:t>suppliers of PFAS alternative products.</w:t>
      </w:r>
      <w:r w:rsidR="00626F8D" w:rsidRPr="008C1981">
        <w:rPr>
          <w:sz w:val="24"/>
          <w:szCs w:val="24"/>
        </w:rPr>
        <w:t xml:space="preserve"> </w:t>
      </w:r>
      <w:r w:rsidR="00D75983" w:rsidRPr="008C1981">
        <w:rPr>
          <w:sz w:val="24"/>
          <w:szCs w:val="24"/>
        </w:rPr>
        <w:t xml:space="preserve">Companies </w:t>
      </w:r>
      <w:r w:rsidR="00626F8D" w:rsidRPr="008C1981">
        <w:rPr>
          <w:sz w:val="24"/>
          <w:szCs w:val="24"/>
        </w:rPr>
        <w:t xml:space="preserve">are </w:t>
      </w:r>
      <w:r w:rsidR="00D75983" w:rsidRPr="008C1981">
        <w:rPr>
          <w:sz w:val="24"/>
          <w:szCs w:val="24"/>
        </w:rPr>
        <w:t xml:space="preserve">categorized by market sectors and the product line they offer in each sector. The alternative material used in each product line </w:t>
      </w:r>
      <w:r w:rsidR="00626F8D" w:rsidRPr="008C1981">
        <w:rPr>
          <w:sz w:val="24"/>
          <w:szCs w:val="24"/>
        </w:rPr>
        <w:t xml:space="preserve">is also </w:t>
      </w:r>
      <w:r w:rsidR="00D75983" w:rsidRPr="008C1981">
        <w:rPr>
          <w:sz w:val="24"/>
          <w:szCs w:val="24"/>
        </w:rPr>
        <w:t>identified.</w:t>
      </w:r>
    </w:p>
    <w:p w14:paraId="4FBCA89F" w14:textId="77777777" w:rsidR="00B84981" w:rsidRPr="008C1981" w:rsidRDefault="00A949C7" w:rsidP="008C1981">
      <w:pPr>
        <w:pStyle w:val="ListParagraph"/>
        <w:numPr>
          <w:ilvl w:val="0"/>
          <w:numId w:val="9"/>
        </w:numPr>
        <w:ind w:left="720"/>
        <w:rPr>
          <w:sz w:val="24"/>
          <w:szCs w:val="24"/>
        </w:rPr>
      </w:pPr>
      <w:r w:rsidRPr="008C1981">
        <w:rPr>
          <w:b/>
          <w:sz w:val="24"/>
          <w:szCs w:val="24"/>
          <w:u w:val="single"/>
        </w:rPr>
        <w:t xml:space="preserve">Manufacturers </w:t>
      </w:r>
      <w:r w:rsidR="008706E8" w:rsidRPr="008C1981">
        <w:rPr>
          <w:b/>
          <w:sz w:val="24"/>
          <w:szCs w:val="24"/>
          <w:u w:val="single"/>
        </w:rPr>
        <w:t>and Users</w:t>
      </w:r>
      <w:r w:rsidR="008C1981" w:rsidRPr="008C1981">
        <w:rPr>
          <w:b/>
          <w:sz w:val="24"/>
          <w:szCs w:val="24"/>
          <w:u w:val="single"/>
        </w:rPr>
        <w:t xml:space="preserve"> - </w:t>
      </w:r>
      <w:r w:rsidR="009271CC" w:rsidRPr="008C1981">
        <w:rPr>
          <w:sz w:val="24"/>
          <w:szCs w:val="24"/>
        </w:rPr>
        <w:t>Ecology is collaborating with s</w:t>
      </w:r>
      <w:r w:rsidR="00D75983" w:rsidRPr="008C1981">
        <w:rPr>
          <w:sz w:val="24"/>
          <w:szCs w:val="24"/>
        </w:rPr>
        <w:t xml:space="preserve">takeholders </w:t>
      </w:r>
      <w:r w:rsidR="00626F8D" w:rsidRPr="008C1981">
        <w:rPr>
          <w:sz w:val="24"/>
          <w:szCs w:val="24"/>
        </w:rPr>
        <w:t>who</w:t>
      </w:r>
      <w:r w:rsidR="009271CC" w:rsidRPr="008C1981">
        <w:rPr>
          <w:sz w:val="24"/>
          <w:szCs w:val="24"/>
        </w:rPr>
        <w:t xml:space="preserve"> voluntarily </w:t>
      </w:r>
      <w:r w:rsidR="00D75983" w:rsidRPr="008C1981">
        <w:rPr>
          <w:sz w:val="24"/>
          <w:szCs w:val="24"/>
        </w:rPr>
        <w:t xml:space="preserve">provide </w:t>
      </w:r>
      <w:r w:rsidR="008706E8" w:rsidRPr="008C1981">
        <w:rPr>
          <w:sz w:val="24"/>
          <w:szCs w:val="24"/>
        </w:rPr>
        <w:t xml:space="preserve">information </w:t>
      </w:r>
      <w:r w:rsidR="00D75983" w:rsidRPr="008C1981">
        <w:rPr>
          <w:sz w:val="24"/>
          <w:szCs w:val="24"/>
        </w:rPr>
        <w:t xml:space="preserve">on their products </w:t>
      </w:r>
      <w:r w:rsidR="009271CC" w:rsidRPr="008C1981">
        <w:rPr>
          <w:sz w:val="24"/>
          <w:szCs w:val="24"/>
        </w:rPr>
        <w:t xml:space="preserve">to assist in the </w:t>
      </w:r>
      <w:r w:rsidR="006B775B" w:rsidRPr="008C1981">
        <w:rPr>
          <w:sz w:val="24"/>
          <w:szCs w:val="24"/>
        </w:rPr>
        <w:t xml:space="preserve">development of </w:t>
      </w:r>
      <w:r w:rsidR="009271CC" w:rsidRPr="008C1981">
        <w:rPr>
          <w:sz w:val="24"/>
          <w:szCs w:val="24"/>
        </w:rPr>
        <w:t xml:space="preserve">the alternatives assessment. </w:t>
      </w:r>
      <w:r w:rsidR="00B84981" w:rsidRPr="008C1981">
        <w:rPr>
          <w:sz w:val="24"/>
          <w:szCs w:val="24"/>
        </w:rPr>
        <w:t xml:space="preserve"> </w:t>
      </w:r>
      <w:r w:rsidR="00626F8D" w:rsidRPr="008C1981">
        <w:rPr>
          <w:sz w:val="24"/>
          <w:szCs w:val="24"/>
        </w:rPr>
        <w:t>S</w:t>
      </w:r>
      <w:r w:rsidR="008706E8" w:rsidRPr="008C1981">
        <w:rPr>
          <w:sz w:val="24"/>
          <w:szCs w:val="24"/>
        </w:rPr>
        <w:t xml:space="preserve">takeholders, including chemical producers, product manufactures, and end users have </w:t>
      </w:r>
      <w:r w:rsidR="00626F8D" w:rsidRPr="008C1981">
        <w:rPr>
          <w:sz w:val="24"/>
          <w:szCs w:val="24"/>
        </w:rPr>
        <w:t xml:space="preserve">provided </w:t>
      </w:r>
      <w:r w:rsidR="008706E8" w:rsidRPr="008C1981">
        <w:rPr>
          <w:sz w:val="24"/>
          <w:szCs w:val="24"/>
        </w:rPr>
        <w:t xml:space="preserve">alternative products that have been independently verified as likely </w:t>
      </w:r>
      <w:r w:rsidR="00626F8D" w:rsidRPr="008C1981">
        <w:rPr>
          <w:sz w:val="24"/>
          <w:szCs w:val="24"/>
        </w:rPr>
        <w:t xml:space="preserve">to be </w:t>
      </w:r>
      <w:r w:rsidR="008706E8" w:rsidRPr="008C1981">
        <w:rPr>
          <w:sz w:val="24"/>
          <w:szCs w:val="24"/>
        </w:rPr>
        <w:t xml:space="preserve">PFAS-free based on the level of fluorine content. </w:t>
      </w:r>
    </w:p>
    <w:p w14:paraId="139DBCB9" w14:textId="77777777" w:rsidR="00E23579" w:rsidRPr="008C1981" w:rsidRDefault="00531B90" w:rsidP="008C1981">
      <w:pPr>
        <w:pStyle w:val="ListParagraph"/>
        <w:numPr>
          <w:ilvl w:val="0"/>
          <w:numId w:val="9"/>
        </w:numPr>
        <w:ind w:left="720"/>
        <w:rPr>
          <w:sz w:val="24"/>
          <w:szCs w:val="24"/>
        </w:rPr>
      </w:pPr>
      <w:r w:rsidRPr="008C1981">
        <w:rPr>
          <w:b/>
          <w:sz w:val="24"/>
          <w:szCs w:val="24"/>
          <w:u w:val="single"/>
        </w:rPr>
        <w:t>U.S. EPA Safer Chemical Ingredients List</w:t>
      </w:r>
      <w:r w:rsidR="008C1981" w:rsidRPr="008C1981">
        <w:rPr>
          <w:b/>
          <w:sz w:val="24"/>
          <w:szCs w:val="24"/>
          <w:u w:val="single"/>
        </w:rPr>
        <w:t xml:space="preserve"> - </w:t>
      </w:r>
      <w:r w:rsidRPr="008C1981">
        <w:rPr>
          <w:sz w:val="24"/>
          <w:szCs w:val="24"/>
        </w:rPr>
        <w:t xml:space="preserve">Ecology is leveraging the use of the SCIL to </w:t>
      </w:r>
      <w:r w:rsidR="00626F8D" w:rsidRPr="008C1981">
        <w:rPr>
          <w:sz w:val="24"/>
          <w:szCs w:val="24"/>
        </w:rPr>
        <w:t xml:space="preserve">identify </w:t>
      </w:r>
      <w:r w:rsidR="00A949C7" w:rsidRPr="008C1981">
        <w:rPr>
          <w:sz w:val="24"/>
          <w:szCs w:val="24"/>
        </w:rPr>
        <w:t>chemicals that EPA has already evaluated and determined are safer for use in products</w:t>
      </w:r>
      <w:r w:rsidRPr="008C1981">
        <w:rPr>
          <w:sz w:val="24"/>
          <w:szCs w:val="24"/>
        </w:rPr>
        <w:t xml:space="preserve">. </w:t>
      </w:r>
    </w:p>
    <w:p w14:paraId="255DBA55" w14:textId="77777777" w:rsidR="00F90A4B" w:rsidRPr="008C1981" w:rsidRDefault="008706E8" w:rsidP="008C1981">
      <w:pPr>
        <w:pStyle w:val="ListParagraph"/>
        <w:numPr>
          <w:ilvl w:val="0"/>
          <w:numId w:val="9"/>
        </w:numPr>
        <w:ind w:left="720"/>
        <w:rPr>
          <w:sz w:val="24"/>
          <w:szCs w:val="24"/>
        </w:rPr>
      </w:pPr>
      <w:r w:rsidRPr="008C1981">
        <w:rPr>
          <w:b/>
          <w:sz w:val="24"/>
          <w:szCs w:val="24"/>
          <w:u w:val="single"/>
        </w:rPr>
        <w:t>Databases on PFAS-free products</w:t>
      </w:r>
      <w:r w:rsidR="008C1981">
        <w:rPr>
          <w:b/>
          <w:sz w:val="24"/>
          <w:szCs w:val="24"/>
          <w:u w:val="single"/>
        </w:rPr>
        <w:t xml:space="preserve"> - </w:t>
      </w:r>
      <w:r w:rsidR="002435F7" w:rsidRPr="008C1981">
        <w:rPr>
          <w:sz w:val="24"/>
          <w:szCs w:val="24"/>
        </w:rPr>
        <w:t xml:space="preserve">Ecology is </w:t>
      </w:r>
      <w:r w:rsidR="00626F8D" w:rsidRPr="008C1981">
        <w:rPr>
          <w:sz w:val="24"/>
          <w:szCs w:val="24"/>
        </w:rPr>
        <w:t xml:space="preserve">relying upon information found in </w:t>
      </w:r>
      <w:r w:rsidR="002435F7" w:rsidRPr="008C1981">
        <w:rPr>
          <w:sz w:val="24"/>
          <w:szCs w:val="24"/>
        </w:rPr>
        <w:t>existing data</w:t>
      </w:r>
      <w:r w:rsidRPr="008C1981">
        <w:rPr>
          <w:sz w:val="24"/>
          <w:szCs w:val="24"/>
        </w:rPr>
        <w:t>bases</w:t>
      </w:r>
      <w:r w:rsidR="002435F7" w:rsidRPr="008C1981">
        <w:rPr>
          <w:sz w:val="24"/>
          <w:szCs w:val="24"/>
        </w:rPr>
        <w:t xml:space="preserve">, including </w:t>
      </w:r>
      <w:r w:rsidRPr="008C1981">
        <w:rPr>
          <w:sz w:val="24"/>
          <w:szCs w:val="24"/>
        </w:rPr>
        <w:t xml:space="preserve">those from </w:t>
      </w:r>
      <w:r w:rsidR="00F90A4B" w:rsidRPr="008C1981">
        <w:rPr>
          <w:sz w:val="24"/>
          <w:szCs w:val="24"/>
        </w:rPr>
        <w:t xml:space="preserve">The </w:t>
      </w:r>
      <w:hyperlink r:id="rId9" w:history="1">
        <w:r w:rsidR="00F90A4B" w:rsidRPr="008C1981">
          <w:rPr>
            <w:rStyle w:val="Hyperlink"/>
            <w:sz w:val="24"/>
            <w:szCs w:val="24"/>
          </w:rPr>
          <w:t>Center for Environmental Health (CEH)</w:t>
        </w:r>
      </w:hyperlink>
      <w:r w:rsidR="00F90A4B" w:rsidRPr="008C1981">
        <w:rPr>
          <w:sz w:val="24"/>
          <w:szCs w:val="24"/>
        </w:rPr>
        <w:t xml:space="preserve"> and </w:t>
      </w:r>
      <w:hyperlink r:id="rId10" w:history="1">
        <w:r w:rsidR="00F90A4B" w:rsidRPr="008C1981">
          <w:rPr>
            <w:rStyle w:val="Hyperlink"/>
            <w:sz w:val="24"/>
            <w:szCs w:val="24"/>
          </w:rPr>
          <w:t>Collaborative Network For Cancer Free Economy</w:t>
        </w:r>
      </w:hyperlink>
      <w:r w:rsidR="002435F7" w:rsidRPr="008C1981">
        <w:rPr>
          <w:sz w:val="24"/>
          <w:szCs w:val="24"/>
        </w:rPr>
        <w:t>.</w:t>
      </w:r>
      <w:r w:rsidR="00F90A4B" w:rsidRPr="008C1981">
        <w:rPr>
          <w:sz w:val="24"/>
          <w:szCs w:val="24"/>
        </w:rPr>
        <w:t xml:space="preserve"> </w:t>
      </w:r>
      <w:r w:rsidRPr="008C1981">
        <w:rPr>
          <w:sz w:val="24"/>
          <w:szCs w:val="24"/>
        </w:rPr>
        <w:t xml:space="preserve">Although </w:t>
      </w:r>
      <w:r w:rsidR="00F90A4B" w:rsidRPr="008C1981">
        <w:rPr>
          <w:sz w:val="24"/>
          <w:szCs w:val="24"/>
        </w:rPr>
        <w:t xml:space="preserve">meant to serve as a resource for purchasers, these databases serve as excellent </w:t>
      </w:r>
      <w:r w:rsidR="007248D6" w:rsidRPr="008C1981">
        <w:rPr>
          <w:sz w:val="24"/>
          <w:szCs w:val="24"/>
        </w:rPr>
        <w:t xml:space="preserve">sources of information and a good </w:t>
      </w:r>
      <w:r w:rsidR="00F90A4B" w:rsidRPr="008C1981">
        <w:rPr>
          <w:sz w:val="24"/>
          <w:szCs w:val="24"/>
        </w:rPr>
        <w:t xml:space="preserve">starting point </w:t>
      </w:r>
      <w:r w:rsidR="007248D6" w:rsidRPr="008C1981">
        <w:rPr>
          <w:sz w:val="24"/>
          <w:szCs w:val="24"/>
        </w:rPr>
        <w:t xml:space="preserve">to </w:t>
      </w:r>
      <w:r w:rsidR="00F90A4B" w:rsidRPr="008C1981">
        <w:rPr>
          <w:sz w:val="24"/>
          <w:szCs w:val="24"/>
        </w:rPr>
        <w:t>identify and prioritiz</w:t>
      </w:r>
      <w:r w:rsidR="007248D6" w:rsidRPr="008C1981">
        <w:rPr>
          <w:sz w:val="24"/>
          <w:szCs w:val="24"/>
        </w:rPr>
        <w:t>e</w:t>
      </w:r>
      <w:r w:rsidR="00F90A4B" w:rsidRPr="008C1981">
        <w:rPr>
          <w:sz w:val="24"/>
          <w:szCs w:val="24"/>
        </w:rPr>
        <w:t xml:space="preserve"> alternatives for this assessment. </w:t>
      </w:r>
    </w:p>
    <w:p w14:paraId="17C22067" w14:textId="77777777" w:rsidR="008C1981" w:rsidRDefault="008C1981" w:rsidP="008C1981">
      <w:pPr>
        <w:pStyle w:val="ListParagraph"/>
        <w:numPr>
          <w:ilvl w:val="0"/>
          <w:numId w:val="9"/>
        </w:numPr>
        <w:ind w:left="720"/>
        <w:rPr>
          <w:b/>
          <w:sz w:val="24"/>
          <w:szCs w:val="24"/>
          <w:u w:val="single"/>
        </w:rPr>
      </w:pPr>
      <w:r>
        <w:rPr>
          <w:b/>
          <w:sz w:val="24"/>
          <w:szCs w:val="24"/>
          <w:u w:val="single"/>
        </w:rPr>
        <w:t xml:space="preserve">Standards Setting and Certifying Programs – </w:t>
      </w:r>
      <w:r>
        <w:rPr>
          <w:sz w:val="24"/>
          <w:szCs w:val="24"/>
        </w:rPr>
        <w:t xml:space="preserve">Ecology will consider existing and emerging efforts to establish standards for materials, products and services that meet high technical quality and market relevancy. The use of standards and certification programs help promote the use of transparency in the market through a rigorous process to address both U.S. and global standards. </w:t>
      </w:r>
    </w:p>
    <w:p w14:paraId="0D61DAE0" w14:textId="77777777" w:rsidR="00860C79" w:rsidRPr="008C1981" w:rsidRDefault="00860C79" w:rsidP="008C1981">
      <w:pPr>
        <w:pStyle w:val="ListParagraph"/>
        <w:numPr>
          <w:ilvl w:val="0"/>
          <w:numId w:val="9"/>
        </w:numPr>
        <w:ind w:left="720"/>
        <w:rPr>
          <w:sz w:val="24"/>
          <w:szCs w:val="24"/>
        </w:rPr>
      </w:pPr>
      <w:r w:rsidRPr="008C1981">
        <w:rPr>
          <w:b/>
          <w:sz w:val="24"/>
          <w:szCs w:val="24"/>
          <w:u w:val="single"/>
        </w:rPr>
        <w:t xml:space="preserve">Literature search </w:t>
      </w:r>
      <w:r w:rsidR="008C1981" w:rsidRPr="008C1981">
        <w:rPr>
          <w:b/>
          <w:sz w:val="24"/>
          <w:szCs w:val="24"/>
          <w:u w:val="single"/>
        </w:rPr>
        <w:t xml:space="preserve">- </w:t>
      </w:r>
      <w:r w:rsidRPr="008C1981">
        <w:rPr>
          <w:sz w:val="24"/>
          <w:szCs w:val="24"/>
        </w:rPr>
        <w:t xml:space="preserve">Ecology will continue to </w:t>
      </w:r>
      <w:r w:rsidR="007248D6" w:rsidRPr="008C1981">
        <w:rPr>
          <w:sz w:val="24"/>
          <w:szCs w:val="24"/>
        </w:rPr>
        <w:t xml:space="preserve">review </w:t>
      </w:r>
      <w:r w:rsidRPr="008C1981">
        <w:rPr>
          <w:sz w:val="24"/>
          <w:szCs w:val="24"/>
        </w:rPr>
        <w:t xml:space="preserve">scientific literature </w:t>
      </w:r>
      <w:r w:rsidR="007248D6" w:rsidRPr="008C1981">
        <w:rPr>
          <w:sz w:val="24"/>
          <w:szCs w:val="24"/>
        </w:rPr>
        <w:t xml:space="preserve">to look for new studies </w:t>
      </w:r>
      <w:r w:rsidRPr="008C1981">
        <w:rPr>
          <w:sz w:val="24"/>
          <w:szCs w:val="24"/>
        </w:rPr>
        <w:t xml:space="preserve">that add to our understanding </w:t>
      </w:r>
      <w:r w:rsidR="007248D6" w:rsidRPr="008C1981">
        <w:rPr>
          <w:sz w:val="24"/>
          <w:szCs w:val="24"/>
        </w:rPr>
        <w:t xml:space="preserve">of </w:t>
      </w:r>
      <w:r w:rsidRPr="008C1981">
        <w:rPr>
          <w:sz w:val="24"/>
          <w:szCs w:val="24"/>
        </w:rPr>
        <w:t xml:space="preserve">chemicals used in food </w:t>
      </w:r>
      <w:r w:rsidR="007248D6" w:rsidRPr="008C1981">
        <w:rPr>
          <w:sz w:val="24"/>
          <w:szCs w:val="24"/>
        </w:rPr>
        <w:t>packaging</w:t>
      </w:r>
      <w:r w:rsidRPr="008C1981">
        <w:rPr>
          <w:sz w:val="24"/>
          <w:szCs w:val="24"/>
        </w:rPr>
        <w:t xml:space="preserve">. </w:t>
      </w:r>
    </w:p>
    <w:p w14:paraId="3915A3EC" w14:textId="77777777" w:rsidR="00A706CB" w:rsidRDefault="00A706CB">
      <w:pPr>
        <w:rPr>
          <w:b/>
        </w:rPr>
      </w:pPr>
      <w:r>
        <w:rPr>
          <w:b/>
        </w:rPr>
        <w:br w:type="page"/>
      </w:r>
    </w:p>
    <w:p w14:paraId="3E5900B0" w14:textId="74C15CE5" w:rsidR="00AF1EC5" w:rsidRPr="0011230D" w:rsidRDefault="00AF1EC5" w:rsidP="00AF1EC5">
      <w:pPr>
        <w:rPr>
          <w:b/>
        </w:rPr>
      </w:pPr>
      <w:r w:rsidRPr="0011230D">
        <w:rPr>
          <w:b/>
        </w:rPr>
        <w:lastRenderedPageBreak/>
        <w:t>References</w:t>
      </w:r>
    </w:p>
    <w:p w14:paraId="777C3308" w14:textId="77777777" w:rsidR="006B775B" w:rsidRDefault="006B775B" w:rsidP="00AF1EC5">
      <w:r w:rsidRPr="006B775B">
        <w:t xml:space="preserve">Clean Water Action. Rethink Disposable. </w:t>
      </w:r>
      <w:hyperlink r:id="rId11" w:history="1">
        <w:r w:rsidRPr="002D7B2F">
          <w:rPr>
            <w:rStyle w:val="Hyperlink"/>
          </w:rPr>
          <w:t>http://www.rethinkdisposable.org/</w:t>
        </w:r>
      </w:hyperlink>
      <w:r>
        <w:t xml:space="preserve"> </w:t>
      </w:r>
    </w:p>
    <w:p w14:paraId="72BEA49A" w14:textId="77777777" w:rsidR="00135E27" w:rsidRDefault="00135E27" w:rsidP="00AF1EC5">
      <w:r>
        <w:t>EPA Safer Chemical Ingredients List (SCIL)</w:t>
      </w:r>
      <w:r w:rsidR="006E24B8">
        <w:t>.</w:t>
      </w:r>
      <w:r>
        <w:t xml:space="preserve"> </w:t>
      </w:r>
      <w:hyperlink r:id="rId12" w:history="1">
        <w:r w:rsidRPr="00FB1155">
          <w:rPr>
            <w:rStyle w:val="Hyperlink"/>
          </w:rPr>
          <w:t>https://www.epa.gov/saferchoice/safer-ingredients</w:t>
        </w:r>
      </w:hyperlink>
      <w:r>
        <w:t xml:space="preserve"> </w:t>
      </w:r>
    </w:p>
    <w:p w14:paraId="02EEA251" w14:textId="77777777" w:rsidR="00AF1EC5" w:rsidRDefault="00AF1EC5" w:rsidP="00AF1EC5">
      <w:r>
        <w:t>The Freedonia Group. 2017. Industry Study #3543 Foodservice Single-Use Products in the US. December 2017. MarketResearch.com, Inc.</w:t>
      </w:r>
    </w:p>
    <w:p w14:paraId="17D5B3D4" w14:textId="77777777" w:rsidR="003735FB" w:rsidRDefault="006B775B" w:rsidP="009A718E">
      <w:r w:rsidRPr="006B775B">
        <w:t>Wie, S et al. A Decision Tree for Selecting the Most Cost-Effective Waste Disposal Strategy in Foodservice Operations. J. Am Diet Assoc. 2003; 103: 475-482.</w:t>
      </w:r>
      <w:r w:rsidR="007248D6" w:rsidDel="007248D6">
        <w:t xml:space="preserve"> </w:t>
      </w:r>
    </w:p>
    <w:sectPr w:rsidR="003735FB">
      <w:headerReference w:type="default" r:id="rId13"/>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BF54F" w16cid:durableId="21EFDEEE"/>
  <w16cid:commentId w16cid:paraId="645732C2" w16cid:durableId="21EFDF84"/>
  <w16cid:commentId w16cid:paraId="3F08C0EF" w16cid:durableId="21EFE1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52C5" w14:textId="77777777" w:rsidR="000D3096" w:rsidRDefault="000D3096" w:rsidP="002C4D82">
      <w:pPr>
        <w:spacing w:after="0" w:line="240" w:lineRule="auto"/>
      </w:pPr>
      <w:r>
        <w:separator/>
      </w:r>
    </w:p>
  </w:endnote>
  <w:endnote w:type="continuationSeparator" w:id="0">
    <w:p w14:paraId="3FF873C5" w14:textId="77777777" w:rsidR="000D3096" w:rsidRDefault="000D3096" w:rsidP="002C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062499"/>
      <w:docPartObj>
        <w:docPartGallery w:val="Page Numbers (Bottom of Page)"/>
        <w:docPartUnique/>
      </w:docPartObj>
    </w:sdtPr>
    <w:sdtEndPr>
      <w:rPr>
        <w:noProof/>
      </w:rPr>
    </w:sdtEndPr>
    <w:sdtContent>
      <w:p w14:paraId="714DFD4B" w14:textId="3139F3D0" w:rsidR="00A706CB" w:rsidRDefault="00A706CB">
        <w:pPr>
          <w:pStyle w:val="Footer"/>
          <w:jc w:val="center"/>
        </w:pPr>
        <w:r>
          <w:fldChar w:fldCharType="begin"/>
        </w:r>
        <w:r>
          <w:instrText xml:space="preserve"> PAGE   \* MERGEFORMAT </w:instrText>
        </w:r>
        <w:r>
          <w:fldChar w:fldCharType="separate"/>
        </w:r>
        <w:r w:rsidR="00C97D01">
          <w:rPr>
            <w:noProof/>
          </w:rPr>
          <w:t>1</w:t>
        </w:r>
        <w:r>
          <w:rPr>
            <w:noProof/>
          </w:rPr>
          <w:fldChar w:fldCharType="end"/>
        </w:r>
      </w:p>
    </w:sdtContent>
  </w:sdt>
  <w:p w14:paraId="248EC90C" w14:textId="77777777" w:rsidR="00A706CB" w:rsidRDefault="00A70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53413" w14:textId="77777777" w:rsidR="000D3096" w:rsidRDefault="000D3096" w:rsidP="002C4D82">
      <w:pPr>
        <w:spacing w:after="0" w:line="240" w:lineRule="auto"/>
      </w:pPr>
      <w:r>
        <w:separator/>
      </w:r>
    </w:p>
  </w:footnote>
  <w:footnote w:type="continuationSeparator" w:id="0">
    <w:p w14:paraId="44DD4F6C" w14:textId="77777777" w:rsidR="000D3096" w:rsidRDefault="000D3096" w:rsidP="002C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23B5" w14:textId="77777777" w:rsidR="0044277B" w:rsidRDefault="0044277B" w:rsidP="008C1981">
    <w:pPr>
      <w:pStyle w:val="Header"/>
      <w:jc w:val="center"/>
      <w:rPr>
        <w:sz w:val="28"/>
        <w:szCs w:val="28"/>
      </w:rPr>
    </w:pPr>
    <w:r>
      <w:rPr>
        <w:sz w:val="28"/>
        <w:szCs w:val="28"/>
      </w:rPr>
      <w:t>Washington State Department of Ecology</w:t>
    </w:r>
  </w:p>
  <w:p w14:paraId="1FABAE6C" w14:textId="18AA88E4" w:rsidR="0044277B" w:rsidRDefault="0044277B" w:rsidP="008C1981">
    <w:pPr>
      <w:pStyle w:val="Header"/>
      <w:jc w:val="center"/>
      <w:rPr>
        <w:sz w:val="28"/>
        <w:szCs w:val="28"/>
      </w:rPr>
    </w:pPr>
    <w:r>
      <w:rPr>
        <w:sz w:val="28"/>
        <w:szCs w:val="28"/>
      </w:rPr>
      <w:t>PFAS in Food Packaging Alternatives Assessment Update (02/</w:t>
    </w:r>
    <w:r w:rsidR="007E2E0F">
      <w:rPr>
        <w:sz w:val="28"/>
        <w:szCs w:val="28"/>
      </w:rPr>
      <w:t>24</w:t>
    </w:r>
    <w:r>
      <w:rPr>
        <w:sz w:val="28"/>
        <w:szCs w:val="28"/>
      </w:rPr>
      <w:t>/2020)</w:t>
    </w:r>
  </w:p>
  <w:p w14:paraId="184F2CA5" w14:textId="77777777" w:rsidR="002C4D82" w:rsidRDefault="002C4D82" w:rsidP="008C198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48A"/>
    <w:multiLevelType w:val="hybridMultilevel"/>
    <w:tmpl w:val="15F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82858"/>
    <w:multiLevelType w:val="hybridMultilevel"/>
    <w:tmpl w:val="0AA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3666C"/>
    <w:multiLevelType w:val="hybridMultilevel"/>
    <w:tmpl w:val="370A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E0F1B"/>
    <w:multiLevelType w:val="hybridMultilevel"/>
    <w:tmpl w:val="585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954DB"/>
    <w:multiLevelType w:val="hybridMultilevel"/>
    <w:tmpl w:val="14CE93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754C07"/>
    <w:multiLevelType w:val="hybridMultilevel"/>
    <w:tmpl w:val="F31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740A8"/>
    <w:multiLevelType w:val="hybridMultilevel"/>
    <w:tmpl w:val="7F28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A28E3"/>
    <w:multiLevelType w:val="hybridMultilevel"/>
    <w:tmpl w:val="A944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F25F3"/>
    <w:multiLevelType w:val="hybridMultilevel"/>
    <w:tmpl w:val="28B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7E36"/>
    <w:multiLevelType w:val="hybridMultilevel"/>
    <w:tmpl w:val="4B904A2E"/>
    <w:lvl w:ilvl="0" w:tplc="373C6C12">
      <w:start w:val="1"/>
      <w:numFmt w:val="decimal"/>
      <w:lvlText w:val="%1."/>
      <w:lvlJc w:val="left"/>
      <w:pPr>
        <w:tabs>
          <w:tab w:val="num" w:pos="720"/>
        </w:tabs>
        <w:ind w:left="720" w:hanging="360"/>
      </w:pPr>
    </w:lvl>
    <w:lvl w:ilvl="1" w:tplc="6748D08C" w:tentative="1">
      <w:start w:val="1"/>
      <w:numFmt w:val="decimal"/>
      <w:lvlText w:val="%2."/>
      <w:lvlJc w:val="left"/>
      <w:pPr>
        <w:tabs>
          <w:tab w:val="num" w:pos="1440"/>
        </w:tabs>
        <w:ind w:left="1440" w:hanging="360"/>
      </w:pPr>
    </w:lvl>
    <w:lvl w:ilvl="2" w:tplc="0B50780C" w:tentative="1">
      <w:start w:val="1"/>
      <w:numFmt w:val="decimal"/>
      <w:lvlText w:val="%3."/>
      <w:lvlJc w:val="left"/>
      <w:pPr>
        <w:tabs>
          <w:tab w:val="num" w:pos="2160"/>
        </w:tabs>
        <w:ind w:left="2160" w:hanging="360"/>
      </w:pPr>
    </w:lvl>
    <w:lvl w:ilvl="3" w:tplc="DD129826" w:tentative="1">
      <w:start w:val="1"/>
      <w:numFmt w:val="decimal"/>
      <w:lvlText w:val="%4."/>
      <w:lvlJc w:val="left"/>
      <w:pPr>
        <w:tabs>
          <w:tab w:val="num" w:pos="2880"/>
        </w:tabs>
        <w:ind w:left="2880" w:hanging="360"/>
      </w:pPr>
    </w:lvl>
    <w:lvl w:ilvl="4" w:tplc="872419BC" w:tentative="1">
      <w:start w:val="1"/>
      <w:numFmt w:val="decimal"/>
      <w:lvlText w:val="%5."/>
      <w:lvlJc w:val="left"/>
      <w:pPr>
        <w:tabs>
          <w:tab w:val="num" w:pos="3600"/>
        </w:tabs>
        <w:ind w:left="3600" w:hanging="360"/>
      </w:pPr>
    </w:lvl>
    <w:lvl w:ilvl="5" w:tplc="879AAF4E" w:tentative="1">
      <w:start w:val="1"/>
      <w:numFmt w:val="decimal"/>
      <w:lvlText w:val="%6."/>
      <w:lvlJc w:val="left"/>
      <w:pPr>
        <w:tabs>
          <w:tab w:val="num" w:pos="4320"/>
        </w:tabs>
        <w:ind w:left="4320" w:hanging="360"/>
      </w:pPr>
    </w:lvl>
    <w:lvl w:ilvl="6" w:tplc="CF36D7BE" w:tentative="1">
      <w:start w:val="1"/>
      <w:numFmt w:val="decimal"/>
      <w:lvlText w:val="%7."/>
      <w:lvlJc w:val="left"/>
      <w:pPr>
        <w:tabs>
          <w:tab w:val="num" w:pos="5040"/>
        </w:tabs>
        <w:ind w:left="5040" w:hanging="360"/>
      </w:pPr>
    </w:lvl>
    <w:lvl w:ilvl="7" w:tplc="13342028" w:tentative="1">
      <w:start w:val="1"/>
      <w:numFmt w:val="decimal"/>
      <w:lvlText w:val="%8."/>
      <w:lvlJc w:val="left"/>
      <w:pPr>
        <w:tabs>
          <w:tab w:val="num" w:pos="5760"/>
        </w:tabs>
        <w:ind w:left="5760" w:hanging="360"/>
      </w:pPr>
    </w:lvl>
    <w:lvl w:ilvl="8" w:tplc="DF543E3A" w:tentative="1">
      <w:start w:val="1"/>
      <w:numFmt w:val="decimal"/>
      <w:lvlText w:val="%9."/>
      <w:lvlJc w:val="left"/>
      <w:pPr>
        <w:tabs>
          <w:tab w:val="num" w:pos="6480"/>
        </w:tabs>
        <w:ind w:left="6480" w:hanging="360"/>
      </w:pPr>
    </w:lvl>
  </w:abstractNum>
  <w:abstractNum w:abstractNumId="10" w15:restartNumberingAfterBreak="0">
    <w:nsid w:val="66F34290"/>
    <w:multiLevelType w:val="hybridMultilevel"/>
    <w:tmpl w:val="A6E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62116"/>
    <w:multiLevelType w:val="hybridMultilevel"/>
    <w:tmpl w:val="555E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6"/>
  </w:num>
  <w:num w:numId="5">
    <w:abstractNumId w:val="2"/>
  </w:num>
  <w:num w:numId="6">
    <w:abstractNumId w:val="3"/>
  </w:num>
  <w:num w:numId="7">
    <w:abstractNumId w:val="0"/>
  </w:num>
  <w:num w:numId="8">
    <w:abstractNumId w:val="7"/>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67"/>
    <w:rsid w:val="000A1B48"/>
    <w:rsid w:val="000B6112"/>
    <w:rsid w:val="000D3096"/>
    <w:rsid w:val="000E5597"/>
    <w:rsid w:val="001118DD"/>
    <w:rsid w:val="0011230D"/>
    <w:rsid w:val="00125BFA"/>
    <w:rsid w:val="00135E27"/>
    <w:rsid w:val="00167BE1"/>
    <w:rsid w:val="001B301A"/>
    <w:rsid w:val="001E0E6D"/>
    <w:rsid w:val="00231A86"/>
    <w:rsid w:val="00234BE4"/>
    <w:rsid w:val="002416C9"/>
    <w:rsid w:val="002435F7"/>
    <w:rsid w:val="00257C64"/>
    <w:rsid w:val="0028378E"/>
    <w:rsid w:val="002C4D82"/>
    <w:rsid w:val="003254A8"/>
    <w:rsid w:val="003735FB"/>
    <w:rsid w:val="00396F89"/>
    <w:rsid w:val="003C1B7B"/>
    <w:rsid w:val="003C2827"/>
    <w:rsid w:val="0044277B"/>
    <w:rsid w:val="00474698"/>
    <w:rsid w:val="004A03F1"/>
    <w:rsid w:val="004B39D9"/>
    <w:rsid w:val="00531B90"/>
    <w:rsid w:val="00564F04"/>
    <w:rsid w:val="00570D67"/>
    <w:rsid w:val="005A6102"/>
    <w:rsid w:val="00603900"/>
    <w:rsid w:val="00626F8D"/>
    <w:rsid w:val="006A7D17"/>
    <w:rsid w:val="006B3D76"/>
    <w:rsid w:val="006B775B"/>
    <w:rsid w:val="006B7E5A"/>
    <w:rsid w:val="006E24B8"/>
    <w:rsid w:val="007248D6"/>
    <w:rsid w:val="007A5273"/>
    <w:rsid w:val="007A6BDD"/>
    <w:rsid w:val="007E2E0F"/>
    <w:rsid w:val="007F7818"/>
    <w:rsid w:val="0081371B"/>
    <w:rsid w:val="00837AD1"/>
    <w:rsid w:val="00860C79"/>
    <w:rsid w:val="008706E8"/>
    <w:rsid w:val="00881B2B"/>
    <w:rsid w:val="008958B9"/>
    <w:rsid w:val="008A326D"/>
    <w:rsid w:val="008C1981"/>
    <w:rsid w:val="008E2FCB"/>
    <w:rsid w:val="008F3743"/>
    <w:rsid w:val="009271CC"/>
    <w:rsid w:val="00947654"/>
    <w:rsid w:val="0096043B"/>
    <w:rsid w:val="00990273"/>
    <w:rsid w:val="00990C30"/>
    <w:rsid w:val="00990F53"/>
    <w:rsid w:val="009A718E"/>
    <w:rsid w:val="009C5A3C"/>
    <w:rsid w:val="009C5A75"/>
    <w:rsid w:val="009D3043"/>
    <w:rsid w:val="009D4858"/>
    <w:rsid w:val="00A10956"/>
    <w:rsid w:val="00A52B2E"/>
    <w:rsid w:val="00A706CB"/>
    <w:rsid w:val="00A949C7"/>
    <w:rsid w:val="00AB36B7"/>
    <w:rsid w:val="00AC0B8B"/>
    <w:rsid w:val="00AF1EC5"/>
    <w:rsid w:val="00B71FFE"/>
    <w:rsid w:val="00B84981"/>
    <w:rsid w:val="00B9305B"/>
    <w:rsid w:val="00BE02F8"/>
    <w:rsid w:val="00BF5EB9"/>
    <w:rsid w:val="00C26779"/>
    <w:rsid w:val="00C33DEE"/>
    <w:rsid w:val="00C80C6B"/>
    <w:rsid w:val="00C97D01"/>
    <w:rsid w:val="00CE5B59"/>
    <w:rsid w:val="00CF1A8E"/>
    <w:rsid w:val="00D07E42"/>
    <w:rsid w:val="00D22584"/>
    <w:rsid w:val="00D75983"/>
    <w:rsid w:val="00D92A25"/>
    <w:rsid w:val="00DA575C"/>
    <w:rsid w:val="00DD5616"/>
    <w:rsid w:val="00E23579"/>
    <w:rsid w:val="00E53D0B"/>
    <w:rsid w:val="00E95D51"/>
    <w:rsid w:val="00EB2BCD"/>
    <w:rsid w:val="00ED0E45"/>
    <w:rsid w:val="00ED1EFE"/>
    <w:rsid w:val="00F26538"/>
    <w:rsid w:val="00F83743"/>
    <w:rsid w:val="00F9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7D70"/>
  <w15:chartTrackingRefBased/>
  <w15:docId w15:val="{71DD8673-C8AA-4843-B322-D531F1BE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698"/>
    <w:pPr>
      <w:ind w:left="720"/>
      <w:contextualSpacing/>
    </w:pPr>
  </w:style>
  <w:style w:type="character" w:styleId="CommentReference">
    <w:name w:val="annotation reference"/>
    <w:basedOn w:val="DefaultParagraphFont"/>
    <w:uiPriority w:val="99"/>
    <w:semiHidden/>
    <w:unhideWhenUsed/>
    <w:rsid w:val="00F26538"/>
    <w:rPr>
      <w:sz w:val="16"/>
      <w:szCs w:val="16"/>
    </w:rPr>
  </w:style>
  <w:style w:type="paragraph" w:styleId="CommentText">
    <w:name w:val="annotation text"/>
    <w:basedOn w:val="Normal"/>
    <w:link w:val="CommentTextChar"/>
    <w:uiPriority w:val="99"/>
    <w:semiHidden/>
    <w:unhideWhenUsed/>
    <w:rsid w:val="00F26538"/>
    <w:pPr>
      <w:spacing w:line="240" w:lineRule="auto"/>
    </w:pPr>
    <w:rPr>
      <w:sz w:val="20"/>
      <w:szCs w:val="20"/>
    </w:rPr>
  </w:style>
  <w:style w:type="character" w:customStyle="1" w:styleId="CommentTextChar">
    <w:name w:val="Comment Text Char"/>
    <w:basedOn w:val="DefaultParagraphFont"/>
    <w:link w:val="CommentText"/>
    <w:uiPriority w:val="99"/>
    <w:semiHidden/>
    <w:rsid w:val="00F26538"/>
    <w:rPr>
      <w:sz w:val="20"/>
      <w:szCs w:val="20"/>
    </w:rPr>
  </w:style>
  <w:style w:type="paragraph" w:styleId="CommentSubject">
    <w:name w:val="annotation subject"/>
    <w:basedOn w:val="CommentText"/>
    <w:next w:val="CommentText"/>
    <w:link w:val="CommentSubjectChar"/>
    <w:uiPriority w:val="99"/>
    <w:semiHidden/>
    <w:unhideWhenUsed/>
    <w:rsid w:val="00F26538"/>
    <w:rPr>
      <w:b/>
      <w:bCs/>
    </w:rPr>
  </w:style>
  <w:style w:type="character" w:customStyle="1" w:styleId="CommentSubjectChar">
    <w:name w:val="Comment Subject Char"/>
    <w:basedOn w:val="CommentTextChar"/>
    <w:link w:val="CommentSubject"/>
    <w:uiPriority w:val="99"/>
    <w:semiHidden/>
    <w:rsid w:val="00F26538"/>
    <w:rPr>
      <w:b/>
      <w:bCs/>
      <w:sz w:val="20"/>
      <w:szCs w:val="20"/>
    </w:rPr>
  </w:style>
  <w:style w:type="paragraph" w:styleId="BalloonText">
    <w:name w:val="Balloon Text"/>
    <w:basedOn w:val="Normal"/>
    <w:link w:val="BalloonTextChar"/>
    <w:uiPriority w:val="99"/>
    <w:semiHidden/>
    <w:unhideWhenUsed/>
    <w:rsid w:val="00F26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38"/>
    <w:rPr>
      <w:rFonts w:ascii="Segoe UI" w:hAnsi="Segoe UI" w:cs="Segoe UI"/>
      <w:sz w:val="18"/>
      <w:szCs w:val="18"/>
    </w:rPr>
  </w:style>
  <w:style w:type="character" w:styleId="Hyperlink">
    <w:name w:val="Hyperlink"/>
    <w:basedOn w:val="DefaultParagraphFont"/>
    <w:uiPriority w:val="99"/>
    <w:unhideWhenUsed/>
    <w:rsid w:val="00B9305B"/>
    <w:rPr>
      <w:color w:val="0563C1" w:themeColor="hyperlink"/>
      <w:u w:val="single"/>
    </w:rPr>
  </w:style>
  <w:style w:type="character" w:customStyle="1" w:styleId="UnresolvedMention1">
    <w:name w:val="Unresolved Mention1"/>
    <w:basedOn w:val="DefaultParagraphFont"/>
    <w:uiPriority w:val="99"/>
    <w:semiHidden/>
    <w:unhideWhenUsed/>
    <w:rsid w:val="00B9305B"/>
    <w:rPr>
      <w:color w:val="605E5C"/>
      <w:shd w:val="clear" w:color="auto" w:fill="E1DFDD"/>
    </w:rPr>
  </w:style>
  <w:style w:type="character" w:styleId="FollowedHyperlink">
    <w:name w:val="FollowedHyperlink"/>
    <w:basedOn w:val="DefaultParagraphFont"/>
    <w:uiPriority w:val="99"/>
    <w:semiHidden/>
    <w:unhideWhenUsed/>
    <w:rsid w:val="00A10956"/>
    <w:rPr>
      <w:color w:val="954F72" w:themeColor="followedHyperlink"/>
      <w:u w:val="single"/>
    </w:rPr>
  </w:style>
  <w:style w:type="paragraph" w:styleId="Header">
    <w:name w:val="header"/>
    <w:basedOn w:val="Normal"/>
    <w:link w:val="HeaderChar"/>
    <w:uiPriority w:val="99"/>
    <w:unhideWhenUsed/>
    <w:rsid w:val="002C4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82"/>
  </w:style>
  <w:style w:type="paragraph" w:styleId="Footer">
    <w:name w:val="footer"/>
    <w:basedOn w:val="Normal"/>
    <w:link w:val="FooterChar"/>
    <w:uiPriority w:val="99"/>
    <w:unhideWhenUsed/>
    <w:rsid w:val="002C4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82"/>
  </w:style>
  <w:style w:type="character" w:customStyle="1" w:styleId="UnresolvedMention">
    <w:name w:val="Unresolved Mention"/>
    <w:basedOn w:val="DefaultParagraphFont"/>
    <w:uiPriority w:val="99"/>
    <w:semiHidden/>
    <w:unhideWhenUsed/>
    <w:rsid w:val="0094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3887">
      <w:bodyDiv w:val="1"/>
      <w:marLeft w:val="0"/>
      <w:marRight w:val="0"/>
      <w:marTop w:val="0"/>
      <w:marBottom w:val="0"/>
      <w:divBdr>
        <w:top w:val="none" w:sz="0" w:space="0" w:color="auto"/>
        <w:left w:val="none" w:sz="0" w:space="0" w:color="auto"/>
        <w:bottom w:val="none" w:sz="0" w:space="0" w:color="auto"/>
        <w:right w:val="none" w:sz="0" w:space="0" w:color="auto"/>
      </w:divBdr>
      <w:divsChild>
        <w:div w:id="380248975">
          <w:marLeft w:val="1080"/>
          <w:marRight w:val="0"/>
          <w:marTop w:val="0"/>
          <w:marBottom w:val="120"/>
          <w:divBdr>
            <w:top w:val="none" w:sz="0" w:space="0" w:color="auto"/>
            <w:left w:val="none" w:sz="0" w:space="0" w:color="auto"/>
            <w:bottom w:val="none" w:sz="0" w:space="0" w:color="auto"/>
            <w:right w:val="none" w:sz="0" w:space="0" w:color="auto"/>
          </w:divBdr>
        </w:div>
      </w:divsChild>
    </w:div>
    <w:div w:id="932862227">
      <w:bodyDiv w:val="1"/>
      <w:marLeft w:val="0"/>
      <w:marRight w:val="0"/>
      <w:marTop w:val="0"/>
      <w:marBottom w:val="0"/>
      <w:divBdr>
        <w:top w:val="none" w:sz="0" w:space="0" w:color="auto"/>
        <w:left w:val="none" w:sz="0" w:space="0" w:color="auto"/>
        <w:bottom w:val="none" w:sz="0" w:space="0" w:color="auto"/>
        <w:right w:val="none" w:sz="0" w:space="0" w:color="auto"/>
      </w:divBdr>
      <w:divsChild>
        <w:div w:id="362902755">
          <w:marLeft w:val="547"/>
          <w:marRight w:val="0"/>
          <w:marTop w:val="0"/>
          <w:marBottom w:val="0"/>
          <w:divBdr>
            <w:top w:val="none" w:sz="0" w:space="0" w:color="auto"/>
            <w:left w:val="none" w:sz="0" w:space="0" w:color="auto"/>
            <w:bottom w:val="none" w:sz="0" w:space="0" w:color="auto"/>
            <w:right w:val="none" w:sz="0" w:space="0" w:color="auto"/>
          </w:divBdr>
        </w:div>
        <w:div w:id="1033649901">
          <w:marLeft w:val="547"/>
          <w:marRight w:val="0"/>
          <w:marTop w:val="0"/>
          <w:marBottom w:val="0"/>
          <w:divBdr>
            <w:top w:val="none" w:sz="0" w:space="0" w:color="auto"/>
            <w:left w:val="none" w:sz="0" w:space="0" w:color="auto"/>
            <w:bottom w:val="none" w:sz="0" w:space="0" w:color="auto"/>
            <w:right w:val="none" w:sz="0" w:space="0" w:color="auto"/>
          </w:divBdr>
        </w:div>
        <w:div w:id="824780473">
          <w:marLeft w:val="547"/>
          <w:marRight w:val="0"/>
          <w:marTop w:val="0"/>
          <w:marBottom w:val="0"/>
          <w:divBdr>
            <w:top w:val="none" w:sz="0" w:space="0" w:color="auto"/>
            <w:left w:val="none" w:sz="0" w:space="0" w:color="auto"/>
            <w:bottom w:val="none" w:sz="0" w:space="0" w:color="auto"/>
            <w:right w:val="none" w:sz="0" w:space="0" w:color="auto"/>
          </w:divBdr>
        </w:div>
        <w:div w:id="1239753792">
          <w:marLeft w:val="547"/>
          <w:marRight w:val="0"/>
          <w:marTop w:val="0"/>
          <w:marBottom w:val="0"/>
          <w:divBdr>
            <w:top w:val="none" w:sz="0" w:space="0" w:color="auto"/>
            <w:left w:val="none" w:sz="0" w:space="0" w:color="auto"/>
            <w:bottom w:val="none" w:sz="0" w:space="0" w:color="auto"/>
            <w:right w:val="none" w:sz="0" w:space="0" w:color="auto"/>
          </w:divBdr>
        </w:div>
      </w:divsChild>
    </w:div>
    <w:div w:id="1119034060">
      <w:bodyDiv w:val="1"/>
      <w:marLeft w:val="0"/>
      <w:marRight w:val="0"/>
      <w:marTop w:val="0"/>
      <w:marBottom w:val="0"/>
      <w:divBdr>
        <w:top w:val="none" w:sz="0" w:space="0" w:color="auto"/>
        <w:left w:val="none" w:sz="0" w:space="0" w:color="auto"/>
        <w:bottom w:val="none" w:sz="0" w:space="0" w:color="auto"/>
        <w:right w:val="none" w:sz="0" w:space="0" w:color="auto"/>
      </w:divBdr>
      <w:divsChild>
        <w:div w:id="1155681231">
          <w:marLeft w:val="547"/>
          <w:marRight w:val="0"/>
          <w:marTop w:val="0"/>
          <w:marBottom w:val="0"/>
          <w:divBdr>
            <w:top w:val="none" w:sz="0" w:space="0" w:color="auto"/>
            <w:left w:val="none" w:sz="0" w:space="0" w:color="auto"/>
            <w:bottom w:val="none" w:sz="0" w:space="0" w:color="auto"/>
            <w:right w:val="none" w:sz="0" w:space="0" w:color="auto"/>
          </w:divBdr>
        </w:div>
        <w:div w:id="740953148">
          <w:marLeft w:val="547"/>
          <w:marRight w:val="0"/>
          <w:marTop w:val="0"/>
          <w:marBottom w:val="0"/>
          <w:divBdr>
            <w:top w:val="none" w:sz="0" w:space="0" w:color="auto"/>
            <w:left w:val="none" w:sz="0" w:space="0" w:color="auto"/>
            <w:bottom w:val="none" w:sz="0" w:space="0" w:color="auto"/>
            <w:right w:val="none" w:sz="0" w:space="0" w:color="auto"/>
          </w:divBdr>
        </w:div>
        <w:div w:id="413556119">
          <w:marLeft w:val="547"/>
          <w:marRight w:val="0"/>
          <w:marTop w:val="0"/>
          <w:marBottom w:val="0"/>
          <w:divBdr>
            <w:top w:val="none" w:sz="0" w:space="0" w:color="auto"/>
            <w:left w:val="none" w:sz="0" w:space="0" w:color="auto"/>
            <w:bottom w:val="none" w:sz="0" w:space="0" w:color="auto"/>
            <w:right w:val="none" w:sz="0" w:space="0" w:color="auto"/>
          </w:divBdr>
        </w:div>
        <w:div w:id="1507280846">
          <w:marLeft w:val="547"/>
          <w:marRight w:val="0"/>
          <w:marTop w:val="0"/>
          <w:marBottom w:val="0"/>
          <w:divBdr>
            <w:top w:val="none" w:sz="0" w:space="0" w:color="auto"/>
            <w:left w:val="none" w:sz="0" w:space="0" w:color="auto"/>
            <w:bottom w:val="none" w:sz="0" w:space="0" w:color="auto"/>
            <w:right w:val="none" w:sz="0" w:space="0" w:color="auto"/>
          </w:divBdr>
        </w:div>
      </w:divsChild>
    </w:div>
    <w:div w:id="1481192756">
      <w:bodyDiv w:val="1"/>
      <w:marLeft w:val="0"/>
      <w:marRight w:val="0"/>
      <w:marTop w:val="0"/>
      <w:marBottom w:val="0"/>
      <w:divBdr>
        <w:top w:val="none" w:sz="0" w:space="0" w:color="auto"/>
        <w:left w:val="none" w:sz="0" w:space="0" w:color="auto"/>
        <w:bottom w:val="none" w:sz="0" w:space="0" w:color="auto"/>
        <w:right w:val="none" w:sz="0" w:space="0" w:color="auto"/>
      </w:divBdr>
    </w:div>
    <w:div w:id="1544946176">
      <w:bodyDiv w:val="1"/>
      <w:marLeft w:val="0"/>
      <w:marRight w:val="0"/>
      <w:marTop w:val="0"/>
      <w:marBottom w:val="0"/>
      <w:divBdr>
        <w:top w:val="none" w:sz="0" w:space="0" w:color="auto"/>
        <w:left w:val="none" w:sz="0" w:space="0" w:color="auto"/>
        <w:bottom w:val="none" w:sz="0" w:space="0" w:color="auto"/>
        <w:right w:val="none" w:sz="0" w:space="0" w:color="auto"/>
      </w:divBdr>
    </w:div>
    <w:div w:id="1577939833">
      <w:bodyDiv w:val="1"/>
      <w:marLeft w:val="0"/>
      <w:marRight w:val="0"/>
      <w:marTop w:val="0"/>
      <w:marBottom w:val="0"/>
      <w:divBdr>
        <w:top w:val="none" w:sz="0" w:space="0" w:color="auto"/>
        <w:left w:val="none" w:sz="0" w:space="0" w:color="auto"/>
        <w:bottom w:val="none" w:sz="0" w:space="0" w:color="auto"/>
        <w:right w:val="none" w:sz="0" w:space="0" w:color="auto"/>
      </w:divBdr>
      <w:divsChild>
        <w:div w:id="878081165">
          <w:marLeft w:val="1080"/>
          <w:marRight w:val="0"/>
          <w:marTop w:val="0"/>
          <w:marBottom w:val="120"/>
          <w:divBdr>
            <w:top w:val="none" w:sz="0" w:space="0" w:color="auto"/>
            <w:left w:val="none" w:sz="0" w:space="0" w:color="auto"/>
            <w:bottom w:val="none" w:sz="0" w:space="0" w:color="auto"/>
            <w:right w:val="none" w:sz="0" w:space="0" w:color="auto"/>
          </w:divBdr>
        </w:div>
      </w:divsChild>
    </w:div>
    <w:div w:id="1938172019">
      <w:bodyDiv w:val="1"/>
      <w:marLeft w:val="0"/>
      <w:marRight w:val="0"/>
      <w:marTop w:val="0"/>
      <w:marBottom w:val="0"/>
      <w:divBdr>
        <w:top w:val="none" w:sz="0" w:space="0" w:color="auto"/>
        <w:left w:val="none" w:sz="0" w:space="0" w:color="auto"/>
        <w:bottom w:val="none" w:sz="0" w:space="0" w:color="auto"/>
        <w:right w:val="none" w:sz="0" w:space="0" w:color="auto"/>
      </w:divBdr>
    </w:div>
    <w:div w:id="1945183936">
      <w:bodyDiv w:val="1"/>
      <w:marLeft w:val="0"/>
      <w:marRight w:val="0"/>
      <w:marTop w:val="0"/>
      <w:marBottom w:val="0"/>
      <w:divBdr>
        <w:top w:val="none" w:sz="0" w:space="0" w:color="auto"/>
        <w:left w:val="none" w:sz="0" w:space="0" w:color="auto"/>
        <w:bottom w:val="none" w:sz="0" w:space="0" w:color="auto"/>
        <w:right w:val="none" w:sz="0" w:space="0" w:color="auto"/>
      </w:divBdr>
    </w:div>
    <w:div w:id="1996495498">
      <w:bodyDiv w:val="1"/>
      <w:marLeft w:val="0"/>
      <w:marRight w:val="0"/>
      <w:marTop w:val="0"/>
      <w:marBottom w:val="0"/>
      <w:divBdr>
        <w:top w:val="none" w:sz="0" w:space="0" w:color="auto"/>
        <w:left w:val="none" w:sz="0" w:space="0" w:color="auto"/>
        <w:bottom w:val="none" w:sz="0" w:space="0" w:color="auto"/>
        <w:right w:val="none" w:sz="0" w:space="0" w:color="auto"/>
      </w:divBdr>
    </w:div>
    <w:div w:id="20263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aferchoice/safer-ingredi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leg.wa.gov/RCW/default.aspx?cite=70.95G" TargetMode="External"/><Relationship Id="rId12" Type="http://schemas.openxmlformats.org/officeDocument/2006/relationships/hyperlink" Target="https://www.epa.gov/saferchoice/safer-ingredients"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thinkdisposabl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stainablepackaging.org/wp-content/uploads/2018/07/Purchasing-Safer-Compostable-Food-Service-Ware.pdf" TargetMode="External"/><Relationship Id="rId4" Type="http://schemas.openxmlformats.org/officeDocument/2006/relationships/webSettings" Target="webSettings.xml"/><Relationship Id="rId9" Type="http://schemas.openxmlformats.org/officeDocument/2006/relationships/hyperlink" Target="https://www.ceh.org/ceh-report-avoiding-hidden-hazards-purchasers-guide-safer-foodwa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 Courtney</dc:creator>
  <cp:keywords/>
  <dc:description/>
  <cp:lastModifiedBy>Blackshear, Maria (ECY)</cp:lastModifiedBy>
  <cp:revision>2</cp:revision>
  <dcterms:created xsi:type="dcterms:W3CDTF">2020-02-25T19:13:00Z</dcterms:created>
  <dcterms:modified xsi:type="dcterms:W3CDTF">2020-02-25T19:13:00Z</dcterms:modified>
</cp:coreProperties>
</file>