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CAF0" w14:textId="24F8B480" w:rsidR="00003D4C" w:rsidRDefault="00982CB4" w:rsidP="00520079">
      <w:pPr>
        <w:pStyle w:val="Title"/>
        <w:ind w:left="-450"/>
      </w:pPr>
      <w:r>
        <w:t xml:space="preserve">FDWG Research </w:t>
      </w:r>
      <w:r w:rsidR="00616FD0">
        <w:t>Memo</w:t>
      </w:r>
      <w:r>
        <w:t xml:space="preserve"> #1</w:t>
      </w:r>
    </w:p>
    <w:p w14:paraId="349074ED" w14:textId="18886A1A" w:rsidR="008A3210" w:rsidRDefault="00650AFD" w:rsidP="008A3210">
      <w:pPr>
        <w:tabs>
          <w:tab w:val="left" w:pos="1620"/>
          <w:tab w:val="left" w:pos="2250"/>
        </w:tabs>
        <w:ind w:left="-450" w:right="-630"/>
        <w:rPr>
          <w:sz w:val="24"/>
          <w:szCs w:val="24"/>
        </w:rPr>
      </w:pPr>
      <w:r w:rsidRPr="00650AFD">
        <w:rPr>
          <w:b/>
          <w:bCs/>
          <w:sz w:val="24"/>
          <w:szCs w:val="24"/>
        </w:rPr>
        <w:t>Project Title:</w:t>
      </w:r>
      <w:r>
        <w:rPr>
          <w:sz w:val="24"/>
          <w:szCs w:val="24"/>
        </w:rPr>
        <w:t xml:space="preserve"> </w:t>
      </w:r>
      <w:r>
        <w:rPr>
          <w:sz w:val="24"/>
          <w:szCs w:val="24"/>
        </w:rPr>
        <w:tab/>
      </w:r>
      <w:r w:rsidR="008A3210">
        <w:rPr>
          <w:sz w:val="24"/>
          <w:szCs w:val="24"/>
        </w:rPr>
        <w:t>Food Center</w:t>
      </w:r>
      <w:r w:rsidR="00A560F6">
        <w:rPr>
          <w:sz w:val="24"/>
          <w:szCs w:val="24"/>
        </w:rPr>
        <w:t xml:space="preserve"> Food Donation</w:t>
      </w:r>
      <w:r w:rsidR="008A3210">
        <w:rPr>
          <w:sz w:val="24"/>
          <w:szCs w:val="24"/>
        </w:rPr>
        <w:t xml:space="preserve"> Work </w:t>
      </w:r>
      <w:r w:rsidR="00A560F6">
        <w:rPr>
          <w:sz w:val="24"/>
          <w:szCs w:val="24"/>
        </w:rPr>
        <w:t>Group</w:t>
      </w:r>
      <w:r w:rsidR="008A3210">
        <w:rPr>
          <w:sz w:val="24"/>
          <w:szCs w:val="24"/>
        </w:rPr>
        <w:t xml:space="preserve"> Research </w:t>
      </w:r>
    </w:p>
    <w:p w14:paraId="501F9A34" w14:textId="75E71E47" w:rsidR="008A3210" w:rsidRPr="00055796" w:rsidRDefault="00650AFD" w:rsidP="00055796">
      <w:pPr>
        <w:tabs>
          <w:tab w:val="left" w:pos="2340"/>
          <w:tab w:val="left" w:pos="8640"/>
        </w:tabs>
        <w:ind w:left="1620" w:right="630" w:hanging="2070"/>
        <w:rPr>
          <w:sz w:val="24"/>
          <w:szCs w:val="24"/>
        </w:rPr>
      </w:pPr>
      <w:r>
        <w:rPr>
          <w:b/>
          <w:bCs/>
          <w:sz w:val="24"/>
          <w:szCs w:val="24"/>
        </w:rPr>
        <w:t>Summary/Scope:</w:t>
      </w:r>
      <w:r>
        <w:rPr>
          <w:sz w:val="24"/>
          <w:szCs w:val="24"/>
        </w:rPr>
        <w:t xml:space="preserve"> </w:t>
      </w:r>
      <w:r w:rsidR="008A3210">
        <w:rPr>
          <w:sz w:val="24"/>
          <w:szCs w:val="24"/>
        </w:rPr>
        <w:tab/>
      </w:r>
      <w:r w:rsidR="00A560F6" w:rsidRPr="009D6E70">
        <w:rPr>
          <w:rFonts w:eastAsia="Times New Roman" w:cs="Calibri"/>
          <w:color w:val="000000"/>
          <w:szCs w:val="24"/>
        </w:rPr>
        <w:t>This workgroup formed according to Washington’s Organics Management Law (OML) 2.0, passed by the 2024 Legislature as </w:t>
      </w:r>
      <w:hyperlink r:id="rId7" w:history="1">
        <w:r w:rsidR="00A560F6" w:rsidRPr="009D6E70">
          <w:rPr>
            <w:rStyle w:val="Hyperlink"/>
            <w:rFonts w:eastAsia="Times New Roman" w:cs="Calibri"/>
            <w:szCs w:val="24"/>
          </w:rPr>
          <w:t>HB2301</w:t>
        </w:r>
      </w:hyperlink>
      <w:r w:rsidR="00A560F6" w:rsidRPr="009D6E70">
        <w:rPr>
          <w:rFonts w:eastAsia="Times New Roman" w:cs="Calibri"/>
          <w:color w:val="000000"/>
          <w:szCs w:val="24"/>
        </w:rPr>
        <w:t>. The goal is to develop recommendations for increased food donation from commercial generators in Washington State. The Food Center at the Department of Ecology (“Ecology”) facilitates the workgroup and will pass their recommendations to the legislature in a report by Sep. 1, 2025.</w:t>
      </w:r>
    </w:p>
    <w:p w14:paraId="676B90F5" w14:textId="77777777" w:rsidR="008A3210" w:rsidRPr="009D6E70" w:rsidRDefault="008A3210" w:rsidP="009D6E70">
      <w:pPr>
        <w:spacing w:after="0"/>
        <w:ind w:right="630"/>
        <w:rPr>
          <w:rFonts w:eastAsia="Times New Roman" w:cs="Calibri"/>
          <w:color w:val="000000"/>
          <w:szCs w:val="24"/>
        </w:rPr>
      </w:pPr>
      <w:bookmarkStart w:id="0" w:name="_Hlk166480017"/>
      <w:r w:rsidRPr="009D6E70">
        <w:rPr>
          <w:rFonts w:eastAsia="Times New Roman" w:cs="Calibri"/>
          <w:color w:val="000000"/>
          <w:szCs w:val="24"/>
        </w:rPr>
        <w:t xml:space="preserve">The work group will address: </w:t>
      </w:r>
    </w:p>
    <w:p w14:paraId="24A4FF91" w14:textId="77777777" w:rsidR="008A3210" w:rsidRPr="009D6E70" w:rsidRDefault="008A3210" w:rsidP="008A3210">
      <w:pPr>
        <w:pStyle w:val="ListParagraph"/>
        <w:numPr>
          <w:ilvl w:val="0"/>
          <w:numId w:val="6"/>
        </w:numPr>
        <w:spacing w:before="120" w:after="0" w:line="240" w:lineRule="auto"/>
        <w:ind w:right="630" w:firstLine="0"/>
        <w:rPr>
          <w:rFonts w:eastAsia="Times New Roman" w:cs="Calibri"/>
          <w:color w:val="000000"/>
          <w:szCs w:val="24"/>
        </w:rPr>
      </w:pPr>
      <w:r w:rsidRPr="009D6E70">
        <w:rPr>
          <w:rFonts w:eastAsia="Times New Roman" w:cs="Calibri"/>
          <w:color w:val="000000"/>
          <w:szCs w:val="24"/>
        </w:rPr>
        <w:t xml:space="preserve">Logistics to phase in edible food donation programs, including </w:t>
      </w:r>
      <w:proofErr w:type="gramStart"/>
      <w:r w:rsidRPr="009D6E70">
        <w:rPr>
          <w:rFonts w:eastAsia="Times New Roman" w:cs="Calibri"/>
          <w:color w:val="000000"/>
          <w:szCs w:val="24"/>
        </w:rPr>
        <w:t>incentives;</w:t>
      </w:r>
      <w:proofErr w:type="gramEnd"/>
      <w:r w:rsidRPr="009D6E70">
        <w:rPr>
          <w:rFonts w:eastAsia="Times New Roman" w:cs="Calibri"/>
          <w:color w:val="000000"/>
          <w:szCs w:val="24"/>
        </w:rPr>
        <w:t xml:space="preserve"> </w:t>
      </w:r>
    </w:p>
    <w:p w14:paraId="68ED1B1D" w14:textId="447B1CA5" w:rsidR="008A3210" w:rsidRPr="009D6E70" w:rsidRDefault="008A3210" w:rsidP="009D6E70">
      <w:pPr>
        <w:pStyle w:val="ListParagraph"/>
        <w:numPr>
          <w:ilvl w:val="0"/>
          <w:numId w:val="6"/>
        </w:numPr>
        <w:spacing w:before="120" w:after="0" w:line="240" w:lineRule="auto"/>
        <w:ind w:left="1440" w:right="-90" w:hanging="720"/>
        <w:rPr>
          <w:rFonts w:eastAsia="Times New Roman" w:cs="Calibri"/>
          <w:color w:val="000000"/>
          <w:szCs w:val="24"/>
        </w:rPr>
      </w:pPr>
      <w:r w:rsidRPr="009D6E70">
        <w:rPr>
          <w:rFonts w:eastAsia="Times New Roman" w:cs="Calibri"/>
          <w:color w:val="000000"/>
          <w:szCs w:val="24"/>
        </w:rPr>
        <w:t xml:space="preserve">The food recovery network system necessary to support increased donation of edible food by commercial </w:t>
      </w:r>
      <w:proofErr w:type="gramStart"/>
      <w:r w:rsidRPr="009D6E70">
        <w:rPr>
          <w:rFonts w:eastAsia="Times New Roman" w:cs="Calibri"/>
          <w:color w:val="000000"/>
          <w:szCs w:val="24"/>
        </w:rPr>
        <w:t>generators;</w:t>
      </w:r>
      <w:proofErr w:type="gramEnd"/>
      <w:r w:rsidRPr="009D6E70">
        <w:rPr>
          <w:rFonts w:eastAsia="Times New Roman" w:cs="Calibri"/>
          <w:color w:val="000000"/>
          <w:szCs w:val="24"/>
        </w:rPr>
        <w:t xml:space="preserve"> </w:t>
      </w:r>
    </w:p>
    <w:p w14:paraId="4701077A" w14:textId="77777777" w:rsidR="008A3210" w:rsidRPr="009D6E70" w:rsidRDefault="008A3210" w:rsidP="008A3210">
      <w:pPr>
        <w:pStyle w:val="ListParagraph"/>
        <w:numPr>
          <w:ilvl w:val="0"/>
          <w:numId w:val="6"/>
        </w:numPr>
        <w:spacing w:before="120" w:after="0" w:line="240" w:lineRule="auto"/>
        <w:ind w:right="630" w:firstLine="0"/>
        <w:rPr>
          <w:rFonts w:eastAsia="Times New Roman" w:cs="Calibri"/>
          <w:color w:val="000000"/>
          <w:szCs w:val="24"/>
        </w:rPr>
      </w:pPr>
      <w:r w:rsidRPr="009D6E70">
        <w:rPr>
          <w:rFonts w:eastAsia="Times New Roman" w:cs="Calibri"/>
          <w:color w:val="000000"/>
          <w:szCs w:val="24"/>
        </w:rPr>
        <w:t xml:space="preserve">Assess asset gaps and food infrastructure development needs. </w:t>
      </w:r>
    </w:p>
    <w:p w14:paraId="174ED2F5" w14:textId="07FEEC33" w:rsidR="008A3210" w:rsidRPr="009D6E70" w:rsidRDefault="008A3210" w:rsidP="009D6E70">
      <w:pPr>
        <w:pStyle w:val="ListParagraph"/>
        <w:numPr>
          <w:ilvl w:val="0"/>
          <w:numId w:val="6"/>
        </w:numPr>
        <w:spacing w:before="120" w:after="0" w:line="240" w:lineRule="auto"/>
        <w:ind w:left="1440" w:hanging="720"/>
        <w:rPr>
          <w:rFonts w:eastAsia="Times New Roman" w:cs="Calibri"/>
          <w:color w:val="000000"/>
          <w:szCs w:val="24"/>
        </w:rPr>
      </w:pPr>
      <w:r w:rsidRPr="009D6E70">
        <w:rPr>
          <w:rFonts w:eastAsia="Times New Roman" w:cs="Calibri"/>
          <w:color w:val="000000"/>
          <w:szCs w:val="24"/>
        </w:rPr>
        <w:t xml:space="preserve">How to facilitate the creation of networks and partnership to address gaps and </w:t>
      </w:r>
      <w:proofErr w:type="gramStart"/>
      <w:r w:rsidRPr="009D6E70">
        <w:rPr>
          <w:rFonts w:eastAsia="Times New Roman" w:cs="Calibri"/>
          <w:color w:val="000000"/>
          <w:szCs w:val="24"/>
        </w:rPr>
        <w:t>needs</w:t>
      </w:r>
      <w:r w:rsidR="009D6E70">
        <w:rPr>
          <w:rFonts w:eastAsia="Times New Roman" w:cs="Calibri"/>
          <w:color w:val="000000"/>
          <w:szCs w:val="24"/>
        </w:rPr>
        <w:t>;</w:t>
      </w:r>
      <w:proofErr w:type="gramEnd"/>
    </w:p>
    <w:p w14:paraId="0B221D9A" w14:textId="77777777" w:rsidR="009D6E70" w:rsidRDefault="008A3210" w:rsidP="009D6E70">
      <w:pPr>
        <w:pStyle w:val="ListParagraph"/>
        <w:numPr>
          <w:ilvl w:val="0"/>
          <w:numId w:val="6"/>
        </w:numPr>
        <w:spacing w:before="120" w:after="0" w:line="240" w:lineRule="auto"/>
        <w:ind w:right="630" w:firstLine="0"/>
        <w:rPr>
          <w:rFonts w:eastAsia="Times New Roman" w:cs="Calibri"/>
          <w:color w:val="000000"/>
          <w:szCs w:val="24"/>
        </w:rPr>
      </w:pPr>
      <w:r w:rsidRPr="009D6E70">
        <w:rPr>
          <w:rFonts w:eastAsia="Times New Roman" w:cs="Calibri"/>
          <w:color w:val="000000"/>
          <w:szCs w:val="24"/>
        </w:rPr>
        <w:t xml:space="preserve">Develop innovative partnership and models where </w:t>
      </w:r>
      <w:proofErr w:type="gramStart"/>
      <w:r w:rsidRPr="009D6E70">
        <w:rPr>
          <w:rFonts w:eastAsia="Times New Roman" w:cs="Calibri"/>
          <w:color w:val="000000"/>
          <w:szCs w:val="24"/>
        </w:rPr>
        <w:t>appropriate;</w:t>
      </w:r>
      <w:proofErr w:type="gramEnd"/>
      <w:r w:rsidRPr="009D6E70">
        <w:rPr>
          <w:rFonts w:eastAsia="Times New Roman" w:cs="Calibri"/>
          <w:color w:val="000000"/>
          <w:szCs w:val="24"/>
        </w:rPr>
        <w:t xml:space="preserve"> </w:t>
      </w:r>
    </w:p>
    <w:p w14:paraId="7DBBA45A" w14:textId="489805C4" w:rsidR="008A3210" w:rsidRPr="009D6E70" w:rsidRDefault="008A3210" w:rsidP="009D6E70">
      <w:pPr>
        <w:pStyle w:val="ListParagraph"/>
        <w:numPr>
          <w:ilvl w:val="0"/>
          <w:numId w:val="6"/>
        </w:numPr>
        <w:spacing w:before="120" w:after="0" w:line="240" w:lineRule="auto"/>
        <w:ind w:left="1440" w:hanging="720"/>
        <w:rPr>
          <w:rFonts w:eastAsia="Times New Roman" w:cs="Calibri"/>
          <w:color w:val="000000"/>
          <w:szCs w:val="24"/>
        </w:rPr>
      </w:pPr>
      <w:r w:rsidRPr="009D6E70">
        <w:rPr>
          <w:rFonts w:eastAsia="Times New Roman" w:cs="Calibri"/>
          <w:color w:val="000000"/>
          <w:szCs w:val="24"/>
        </w:rPr>
        <w:t>Actions taken, costs, and lessons learned by other jurisdictions in the United States that have enacted policies focused on reducing edible commercially generated food waste, including studying voluntary pilot projects carried out by commercial generators.</w:t>
      </w:r>
    </w:p>
    <w:bookmarkEnd w:id="0"/>
    <w:p w14:paraId="229D1073" w14:textId="77777777" w:rsidR="008A3210" w:rsidRPr="009D6E70" w:rsidRDefault="008A3210" w:rsidP="008A3210">
      <w:pPr>
        <w:spacing w:after="0"/>
        <w:ind w:left="720" w:right="630"/>
        <w:rPr>
          <w:rFonts w:eastAsia="Times New Roman" w:cs="Calibri"/>
          <w:color w:val="000000"/>
          <w:szCs w:val="24"/>
        </w:rPr>
      </w:pPr>
    </w:p>
    <w:p w14:paraId="7E8CDA13" w14:textId="0D276187" w:rsidR="008A3210" w:rsidRPr="009D6E70" w:rsidRDefault="008A3210" w:rsidP="009D6E70">
      <w:pPr>
        <w:spacing w:after="0"/>
        <w:ind w:right="630"/>
        <w:rPr>
          <w:rFonts w:eastAsia="Times New Roman" w:cs="Calibri"/>
          <w:color w:val="000000"/>
          <w:szCs w:val="24"/>
        </w:rPr>
      </w:pPr>
      <w:r w:rsidRPr="009D6E70">
        <w:rPr>
          <w:rFonts w:eastAsia="Times New Roman" w:cs="Calibri"/>
          <w:color w:val="000000"/>
          <w:szCs w:val="24"/>
        </w:rPr>
        <w:t>Ecology will submit a report to the legislature by September 1, 2025, with recommendations from this work group, which will make recommendations based on consensus.</w:t>
      </w:r>
    </w:p>
    <w:p w14:paraId="7C9703FC" w14:textId="77777777" w:rsidR="008A3210" w:rsidRPr="009C27AB" w:rsidRDefault="008A3210" w:rsidP="008A3210">
      <w:pPr>
        <w:spacing w:after="0"/>
        <w:rPr>
          <w:rFonts w:ascii="Calibri" w:eastAsia="Times New Roman" w:hAnsi="Calibri" w:cs="Calibri"/>
          <w:color w:val="000000"/>
          <w:szCs w:val="24"/>
        </w:rPr>
      </w:pPr>
    </w:p>
    <w:p w14:paraId="58F533B2" w14:textId="77777777" w:rsidR="00055796" w:rsidRDefault="00055796" w:rsidP="008A3210">
      <w:pPr>
        <w:tabs>
          <w:tab w:val="left" w:pos="2250"/>
        </w:tabs>
        <w:ind w:left="2250" w:right="-720" w:hanging="2700"/>
        <w:rPr>
          <w:b/>
          <w:bCs/>
          <w:sz w:val="24"/>
          <w:szCs w:val="24"/>
        </w:rPr>
      </w:pPr>
    </w:p>
    <w:p w14:paraId="4CD58B9B" w14:textId="5BB5651F" w:rsidR="00A74393" w:rsidRDefault="00081403" w:rsidP="008A3210">
      <w:pPr>
        <w:tabs>
          <w:tab w:val="left" w:pos="2250"/>
        </w:tabs>
        <w:ind w:left="2250" w:right="-720" w:hanging="2700"/>
        <w:rPr>
          <w:sz w:val="24"/>
          <w:szCs w:val="24"/>
        </w:rPr>
      </w:pPr>
      <w:r w:rsidRPr="000E2690">
        <w:rPr>
          <w:b/>
          <w:bCs/>
          <w:sz w:val="24"/>
          <w:szCs w:val="24"/>
        </w:rPr>
        <w:t>Ecology Facilitator</w:t>
      </w:r>
      <w:r w:rsidR="00055796">
        <w:rPr>
          <w:b/>
          <w:bCs/>
          <w:sz w:val="24"/>
          <w:szCs w:val="24"/>
        </w:rPr>
        <w:t>s</w:t>
      </w:r>
      <w:r w:rsidRPr="000E2690">
        <w:rPr>
          <w:b/>
          <w:bCs/>
          <w:sz w:val="24"/>
          <w:szCs w:val="24"/>
        </w:rPr>
        <w:t>:</w:t>
      </w:r>
      <w:r w:rsidR="000E2690">
        <w:rPr>
          <w:sz w:val="24"/>
          <w:szCs w:val="24"/>
        </w:rPr>
        <w:tab/>
      </w:r>
      <w:r w:rsidR="00A74393">
        <w:rPr>
          <w:sz w:val="24"/>
          <w:szCs w:val="24"/>
        </w:rPr>
        <w:t>Jade Monroe</w:t>
      </w:r>
      <w:r w:rsidR="000E2690">
        <w:rPr>
          <w:sz w:val="24"/>
          <w:szCs w:val="24"/>
        </w:rPr>
        <w:t xml:space="preserve">, </w:t>
      </w:r>
      <w:hyperlink r:id="rId8" w:history="1">
        <w:r w:rsidR="00A74393" w:rsidRPr="0015659A">
          <w:rPr>
            <w:rStyle w:val="Hyperlink"/>
            <w:sz w:val="24"/>
            <w:szCs w:val="24"/>
          </w:rPr>
          <w:t>jadm461@ecy.wa.gov</w:t>
        </w:r>
      </w:hyperlink>
    </w:p>
    <w:p w14:paraId="326E66EB" w14:textId="01079AA5" w:rsidR="00081403" w:rsidRDefault="00A74393" w:rsidP="000E2690">
      <w:pPr>
        <w:tabs>
          <w:tab w:val="left" w:pos="1620"/>
          <w:tab w:val="left" w:pos="2250"/>
        </w:tabs>
        <w:ind w:left="-450"/>
        <w:rPr>
          <w:sz w:val="24"/>
          <w:szCs w:val="24"/>
        </w:rPr>
      </w:pPr>
      <w:r>
        <w:rPr>
          <w:b/>
          <w:bCs/>
          <w:sz w:val="24"/>
          <w:szCs w:val="24"/>
        </w:rPr>
        <w:tab/>
      </w:r>
      <w:r>
        <w:rPr>
          <w:b/>
          <w:bCs/>
          <w:sz w:val="24"/>
          <w:szCs w:val="24"/>
        </w:rPr>
        <w:tab/>
      </w:r>
      <w:r>
        <w:rPr>
          <w:sz w:val="24"/>
          <w:szCs w:val="24"/>
        </w:rPr>
        <w:t xml:space="preserve">Selena Ligrano, </w:t>
      </w:r>
      <w:hyperlink r:id="rId9" w:history="1">
        <w:r w:rsidRPr="0015659A">
          <w:rPr>
            <w:rStyle w:val="Hyperlink"/>
            <w:sz w:val="24"/>
            <w:szCs w:val="24"/>
          </w:rPr>
          <w:t>slig461@ecy.wa.gov</w:t>
        </w:r>
      </w:hyperlink>
      <w:r>
        <w:rPr>
          <w:sz w:val="24"/>
          <w:szCs w:val="24"/>
        </w:rPr>
        <w:t xml:space="preserve">  </w:t>
      </w:r>
    </w:p>
    <w:p w14:paraId="3C4EB8D6" w14:textId="1C6B9365" w:rsidR="00A74393" w:rsidRDefault="00A74393" w:rsidP="000E2690">
      <w:pPr>
        <w:tabs>
          <w:tab w:val="left" w:pos="1620"/>
          <w:tab w:val="left" w:pos="2250"/>
        </w:tabs>
        <w:ind w:left="-450"/>
        <w:rPr>
          <w:sz w:val="24"/>
          <w:szCs w:val="24"/>
        </w:rPr>
      </w:pPr>
    </w:p>
    <w:p w14:paraId="23A1D619" w14:textId="2466C703" w:rsidR="008552A0" w:rsidRDefault="00B76BCC" w:rsidP="00E179C1">
      <w:pPr>
        <w:tabs>
          <w:tab w:val="left" w:pos="2250"/>
        </w:tabs>
        <w:ind w:left="-450"/>
        <w:rPr>
          <w:sz w:val="24"/>
          <w:szCs w:val="24"/>
        </w:rPr>
      </w:pPr>
      <w:r>
        <w:rPr>
          <w:b/>
          <w:bCs/>
          <w:sz w:val="24"/>
          <w:szCs w:val="24"/>
        </w:rPr>
        <w:t>Project dates:</w:t>
      </w:r>
      <w:r w:rsidR="00680734">
        <w:rPr>
          <w:b/>
          <w:bCs/>
          <w:sz w:val="24"/>
          <w:szCs w:val="24"/>
        </w:rPr>
        <w:tab/>
      </w:r>
      <w:r w:rsidR="008A3210">
        <w:rPr>
          <w:sz w:val="24"/>
          <w:szCs w:val="24"/>
        </w:rPr>
        <w:t>Ju</w:t>
      </w:r>
      <w:r w:rsidR="001D68A6">
        <w:rPr>
          <w:sz w:val="24"/>
          <w:szCs w:val="24"/>
        </w:rPr>
        <w:t>ne</w:t>
      </w:r>
      <w:r w:rsidR="008A3210">
        <w:rPr>
          <w:sz w:val="24"/>
          <w:szCs w:val="24"/>
        </w:rPr>
        <w:t xml:space="preserve"> </w:t>
      </w:r>
      <w:r w:rsidR="001D68A6">
        <w:rPr>
          <w:sz w:val="24"/>
          <w:szCs w:val="24"/>
        </w:rPr>
        <w:t>1</w:t>
      </w:r>
      <w:r w:rsidR="00680734" w:rsidRPr="00680734">
        <w:rPr>
          <w:sz w:val="24"/>
          <w:szCs w:val="24"/>
        </w:rPr>
        <w:t>, 202</w:t>
      </w:r>
      <w:r w:rsidR="008A3210">
        <w:rPr>
          <w:sz w:val="24"/>
          <w:szCs w:val="24"/>
        </w:rPr>
        <w:t>4</w:t>
      </w:r>
      <w:r w:rsidR="00680734" w:rsidRPr="00680734">
        <w:rPr>
          <w:sz w:val="24"/>
          <w:szCs w:val="24"/>
        </w:rPr>
        <w:t xml:space="preserve"> – </w:t>
      </w:r>
      <w:r w:rsidR="008A3210">
        <w:rPr>
          <w:sz w:val="24"/>
          <w:szCs w:val="24"/>
        </w:rPr>
        <w:t>Sept. 1</w:t>
      </w:r>
      <w:r w:rsidR="00680734" w:rsidRPr="00680734">
        <w:rPr>
          <w:sz w:val="24"/>
          <w:szCs w:val="24"/>
        </w:rPr>
        <w:t>, 2025</w:t>
      </w:r>
    </w:p>
    <w:p w14:paraId="1F6BE7A0" w14:textId="2BBA2981" w:rsidR="0028054B" w:rsidRPr="0034418C" w:rsidRDefault="0028054B" w:rsidP="0028054B">
      <w:pPr>
        <w:pStyle w:val="Heading1"/>
        <w:spacing w:after="240"/>
        <w:ind w:firstLine="187"/>
      </w:pPr>
      <w:r>
        <w:t>Upcoming Tasks and Action Items</w:t>
      </w:r>
    </w:p>
    <w:tbl>
      <w:tblPr>
        <w:tblStyle w:val="TableGrid"/>
        <w:tblW w:w="11063" w:type="dxa"/>
        <w:tblInd w:w="-79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1063"/>
      </w:tblGrid>
      <w:tr w:rsidR="009037AE" w14:paraId="3F1F2239" w14:textId="77777777" w:rsidTr="004B0EAD">
        <w:tc>
          <w:tcPr>
            <w:tcW w:w="11063" w:type="dxa"/>
            <w:shd w:val="clear" w:color="auto" w:fill="F6C5AC" w:themeFill="accent2" w:themeFillTint="66"/>
          </w:tcPr>
          <w:p w14:paraId="4F670B08" w14:textId="40C6E432" w:rsidR="009037AE" w:rsidRPr="00BC1855" w:rsidRDefault="005C17DD" w:rsidP="005C17DD">
            <w:pPr>
              <w:jc w:val="center"/>
              <w:rPr>
                <w:b/>
                <w:bCs/>
                <w:sz w:val="24"/>
                <w:szCs w:val="24"/>
              </w:rPr>
            </w:pPr>
            <w:r w:rsidRPr="00985026">
              <w:rPr>
                <w:b/>
                <w:bCs/>
                <w:sz w:val="28"/>
                <w:szCs w:val="28"/>
              </w:rPr>
              <w:t xml:space="preserve">Please </w:t>
            </w:r>
            <w:r w:rsidR="009037AE" w:rsidRPr="00985026">
              <w:rPr>
                <w:b/>
                <w:bCs/>
                <w:sz w:val="28"/>
                <w:szCs w:val="28"/>
              </w:rPr>
              <w:t>complete the following tasks</w:t>
            </w:r>
            <w:r w:rsidRPr="00985026">
              <w:rPr>
                <w:b/>
                <w:bCs/>
                <w:sz w:val="28"/>
                <w:szCs w:val="28"/>
              </w:rPr>
              <w:t xml:space="preserve"> (Outlook reminder attached in email)</w:t>
            </w:r>
          </w:p>
        </w:tc>
      </w:tr>
      <w:tr w:rsidR="00A8732E" w14:paraId="08FABA15" w14:textId="77777777" w:rsidTr="004B0EAD">
        <w:tc>
          <w:tcPr>
            <w:tcW w:w="11063" w:type="dxa"/>
          </w:tcPr>
          <w:p w14:paraId="1C7AEE36" w14:textId="77777777" w:rsidR="009037AE" w:rsidRDefault="009037AE" w:rsidP="009037AE"/>
          <w:p w14:paraId="5F76A47C" w14:textId="55540AD2" w:rsidR="008C30E1" w:rsidRPr="008C30E1" w:rsidRDefault="00A8732E" w:rsidP="008C30E1">
            <w:pPr>
              <w:pStyle w:val="ListParagraph"/>
              <w:numPr>
                <w:ilvl w:val="0"/>
                <w:numId w:val="5"/>
              </w:numPr>
              <w:rPr>
                <w:sz w:val="24"/>
                <w:szCs w:val="24"/>
              </w:rPr>
            </w:pPr>
            <w:r w:rsidRPr="00985026">
              <w:rPr>
                <w:sz w:val="24"/>
                <w:szCs w:val="24"/>
              </w:rPr>
              <w:t xml:space="preserve">All members - </w:t>
            </w:r>
            <w:r w:rsidR="008C30E1" w:rsidRPr="008C30E1">
              <w:rPr>
                <w:sz w:val="24"/>
                <w:szCs w:val="24"/>
              </w:rPr>
              <w:t xml:space="preserve">Begin completing the </w:t>
            </w:r>
            <w:hyperlink r:id="rId10" w:history="1">
              <w:r w:rsidR="008C30E1" w:rsidRPr="001D68A6">
                <w:rPr>
                  <w:rStyle w:val="Hyperlink"/>
                  <w:sz w:val="24"/>
                  <w:szCs w:val="24"/>
                </w:rPr>
                <w:t>recommendation worksheets</w:t>
              </w:r>
            </w:hyperlink>
            <w:r w:rsidR="008C30E1" w:rsidRPr="008C30E1">
              <w:rPr>
                <w:sz w:val="24"/>
                <w:szCs w:val="24"/>
              </w:rPr>
              <w:t xml:space="preserve">. Worksheets can </w:t>
            </w:r>
            <w:r w:rsidR="001D68A6">
              <w:rPr>
                <w:sz w:val="24"/>
                <w:szCs w:val="24"/>
              </w:rPr>
              <w:t>a</w:t>
            </w:r>
            <w:r w:rsidR="001D68A6">
              <w:t xml:space="preserve">lso </w:t>
            </w:r>
            <w:r w:rsidR="008C30E1" w:rsidRPr="008C30E1">
              <w:rPr>
                <w:sz w:val="24"/>
                <w:szCs w:val="24"/>
              </w:rPr>
              <w:t xml:space="preserve">be found on the </w:t>
            </w:r>
            <w:hyperlink r:id="rId11" w:history="1">
              <w:r w:rsidR="001D68A6" w:rsidRPr="001D68A6">
                <w:rPr>
                  <w:rStyle w:val="Hyperlink"/>
                  <w:sz w:val="24"/>
                  <w:szCs w:val="24"/>
                </w:rPr>
                <w:t xml:space="preserve">EZ View </w:t>
              </w:r>
              <w:r w:rsidR="008C30E1" w:rsidRPr="001D68A6">
                <w:rPr>
                  <w:rStyle w:val="Hyperlink"/>
                  <w:sz w:val="24"/>
                  <w:szCs w:val="24"/>
                </w:rPr>
                <w:t>webpage</w:t>
              </w:r>
            </w:hyperlink>
            <w:r w:rsidR="008C30E1" w:rsidRPr="008C30E1">
              <w:rPr>
                <w:sz w:val="24"/>
                <w:szCs w:val="24"/>
              </w:rPr>
              <w:t xml:space="preserve">. Please send finished worksheets to </w:t>
            </w:r>
            <w:hyperlink r:id="rId12" w:history="1">
              <w:r w:rsidR="008C30E1" w:rsidRPr="008C30E1">
                <w:rPr>
                  <w:rStyle w:val="Hyperlink"/>
                  <w:sz w:val="24"/>
                  <w:szCs w:val="24"/>
                </w:rPr>
                <w:t>FoodCenter@ecy.wa.gov</w:t>
              </w:r>
            </w:hyperlink>
            <w:r w:rsidR="008C30E1" w:rsidRPr="008C30E1">
              <w:rPr>
                <w:sz w:val="24"/>
                <w:szCs w:val="24"/>
              </w:rPr>
              <w:t xml:space="preserve">. </w:t>
            </w:r>
          </w:p>
          <w:p w14:paraId="19F28C3D" w14:textId="63E4BE2A" w:rsidR="009037AE" w:rsidRPr="00A8732E" w:rsidRDefault="009037AE" w:rsidP="008C30E1"/>
        </w:tc>
      </w:tr>
    </w:tbl>
    <w:p w14:paraId="77A1ECB4" w14:textId="77777777" w:rsidR="00055796" w:rsidRDefault="00055796">
      <w:pPr>
        <w:rPr>
          <w:rFonts w:asciiTheme="majorHAnsi" w:eastAsiaTheme="majorEastAsia" w:hAnsiTheme="majorHAnsi" w:cstheme="majorBidi"/>
          <w:color w:val="0F4761" w:themeColor="accent1" w:themeShade="BF"/>
          <w:sz w:val="40"/>
          <w:szCs w:val="40"/>
        </w:rPr>
      </w:pPr>
      <w:r>
        <w:br w:type="page"/>
      </w:r>
    </w:p>
    <w:p w14:paraId="2113DC88" w14:textId="18B87660" w:rsidR="00B76BCC" w:rsidRDefault="00B76BCC" w:rsidP="00D37063">
      <w:pPr>
        <w:pStyle w:val="Heading1"/>
      </w:pPr>
      <w:r>
        <w:lastRenderedPageBreak/>
        <w:t>Project Status</w:t>
      </w:r>
      <w:r w:rsidR="00D37063">
        <w:t xml:space="preserve"> Since Last Update</w:t>
      </w:r>
    </w:p>
    <w:p w14:paraId="2B109F71" w14:textId="0240F549" w:rsidR="00016E57" w:rsidRDefault="00016E57" w:rsidP="008C4ABD">
      <w:pPr>
        <w:shd w:val="clear" w:color="auto" w:fill="D9F2D0" w:themeFill="accent6" w:themeFillTint="33"/>
        <w:tabs>
          <w:tab w:val="left" w:pos="3150"/>
        </w:tabs>
        <w:ind w:left="-450" w:right="-630"/>
        <w:rPr>
          <w:sz w:val="24"/>
          <w:szCs w:val="24"/>
        </w:rPr>
      </w:pPr>
      <w:r w:rsidRPr="00650AFD">
        <w:rPr>
          <w:b/>
          <w:bCs/>
          <w:sz w:val="24"/>
          <w:szCs w:val="24"/>
        </w:rPr>
        <w:t xml:space="preserve">Project </w:t>
      </w:r>
      <w:r>
        <w:rPr>
          <w:b/>
          <w:bCs/>
          <w:sz w:val="24"/>
          <w:szCs w:val="24"/>
        </w:rPr>
        <w:t>status</w:t>
      </w:r>
      <w:r w:rsidRPr="00650AFD">
        <w:rPr>
          <w:b/>
          <w:bCs/>
          <w:sz w:val="24"/>
          <w:szCs w:val="24"/>
        </w:rPr>
        <w:t>:</w:t>
      </w:r>
      <w:r>
        <w:rPr>
          <w:sz w:val="24"/>
          <w:szCs w:val="24"/>
        </w:rPr>
        <w:t xml:space="preserve"> </w:t>
      </w:r>
      <w:r>
        <w:rPr>
          <w:sz w:val="24"/>
          <w:szCs w:val="24"/>
        </w:rPr>
        <w:tab/>
      </w:r>
      <w:r w:rsidRPr="00CD77AB">
        <w:rPr>
          <w:sz w:val="24"/>
          <w:szCs w:val="24"/>
          <w:shd w:val="clear" w:color="auto" w:fill="D9F2D0" w:themeFill="accent6" w:themeFillTint="33"/>
        </w:rPr>
        <w:t>On track</w:t>
      </w:r>
    </w:p>
    <w:p w14:paraId="7B672662" w14:textId="0D600F1C" w:rsidR="00016E57" w:rsidRDefault="00016E57" w:rsidP="00CD77AB">
      <w:pPr>
        <w:tabs>
          <w:tab w:val="left" w:pos="3150"/>
        </w:tabs>
        <w:ind w:left="-450" w:right="-630"/>
        <w:rPr>
          <w:b/>
          <w:bCs/>
          <w:sz w:val="24"/>
          <w:szCs w:val="24"/>
        </w:rPr>
      </w:pPr>
      <w:r>
        <w:rPr>
          <w:b/>
          <w:bCs/>
          <w:sz w:val="24"/>
          <w:szCs w:val="24"/>
        </w:rPr>
        <w:t>Accomplishments/Milestones:</w:t>
      </w:r>
      <w:r w:rsidR="00CD77AB">
        <w:rPr>
          <w:b/>
          <w:bCs/>
          <w:sz w:val="24"/>
          <w:szCs w:val="24"/>
        </w:rPr>
        <w:tab/>
      </w:r>
    </w:p>
    <w:p w14:paraId="1C118547" w14:textId="0C5FBFD4" w:rsidR="009473B3" w:rsidRDefault="00055796" w:rsidP="00702BDC">
      <w:pPr>
        <w:pStyle w:val="ListParagraph"/>
        <w:numPr>
          <w:ilvl w:val="0"/>
          <w:numId w:val="2"/>
        </w:numPr>
        <w:tabs>
          <w:tab w:val="left" w:pos="3150"/>
        </w:tabs>
        <w:ind w:left="810" w:right="-630"/>
        <w:rPr>
          <w:sz w:val="24"/>
          <w:szCs w:val="24"/>
        </w:rPr>
      </w:pPr>
      <w:r>
        <w:rPr>
          <w:sz w:val="24"/>
          <w:szCs w:val="24"/>
        </w:rPr>
        <w:t xml:space="preserve">We had an </w:t>
      </w:r>
      <w:r w:rsidR="00A74393" w:rsidRPr="00616FD0">
        <w:rPr>
          <w:b/>
          <w:bCs/>
          <w:sz w:val="24"/>
          <w:szCs w:val="24"/>
        </w:rPr>
        <w:t>80%</w:t>
      </w:r>
      <w:r w:rsidR="00A74393">
        <w:rPr>
          <w:sz w:val="24"/>
          <w:szCs w:val="24"/>
        </w:rPr>
        <w:t xml:space="preserve"> response rate</w:t>
      </w:r>
      <w:r w:rsidR="009473B3">
        <w:rPr>
          <w:sz w:val="24"/>
          <w:szCs w:val="24"/>
        </w:rPr>
        <w:t xml:space="preserve"> to </w:t>
      </w:r>
      <w:r>
        <w:rPr>
          <w:sz w:val="24"/>
          <w:szCs w:val="24"/>
        </w:rPr>
        <w:t>Survey #1</w:t>
      </w:r>
      <w:r w:rsidR="009473B3">
        <w:rPr>
          <w:sz w:val="24"/>
          <w:szCs w:val="24"/>
        </w:rPr>
        <w:t xml:space="preserve"> (</w:t>
      </w:r>
      <w:r w:rsidR="009473B3" w:rsidRPr="00D41C0F">
        <w:rPr>
          <w:rStyle w:val="Strong"/>
        </w:rPr>
        <w:t>thank you</w:t>
      </w:r>
      <w:r>
        <w:rPr>
          <w:rStyle w:val="Strong"/>
        </w:rPr>
        <w:t>!</w:t>
      </w:r>
      <w:r w:rsidR="009473B3">
        <w:rPr>
          <w:sz w:val="24"/>
          <w:szCs w:val="24"/>
        </w:rPr>
        <w:t>)</w:t>
      </w:r>
    </w:p>
    <w:p w14:paraId="13D0C48F" w14:textId="40D72E3E" w:rsidR="00A74393" w:rsidRDefault="00055796" w:rsidP="009D6E70">
      <w:pPr>
        <w:pStyle w:val="ListParagraph"/>
        <w:numPr>
          <w:ilvl w:val="0"/>
          <w:numId w:val="2"/>
        </w:numPr>
        <w:tabs>
          <w:tab w:val="left" w:pos="3150"/>
        </w:tabs>
        <w:ind w:left="810" w:right="-90"/>
        <w:rPr>
          <w:sz w:val="24"/>
          <w:szCs w:val="24"/>
        </w:rPr>
      </w:pPr>
      <w:r w:rsidRPr="00BE5126">
        <w:rPr>
          <w:sz w:val="24"/>
          <w:szCs w:val="24"/>
        </w:rPr>
        <w:t>For the first meeting we highlighted</w:t>
      </w:r>
      <w:r>
        <w:rPr>
          <w:b/>
          <w:bCs/>
          <w:sz w:val="24"/>
          <w:szCs w:val="24"/>
        </w:rPr>
        <w:t xml:space="preserve"> </w:t>
      </w:r>
      <w:r w:rsidR="002C6AA6" w:rsidRPr="00616FD0">
        <w:rPr>
          <w:b/>
          <w:bCs/>
          <w:sz w:val="24"/>
          <w:szCs w:val="24"/>
        </w:rPr>
        <w:t>92 Challenge</w:t>
      </w:r>
      <w:r w:rsidR="002C6AA6">
        <w:rPr>
          <w:sz w:val="24"/>
          <w:szCs w:val="24"/>
        </w:rPr>
        <w:t xml:space="preserve"> stickies and </w:t>
      </w:r>
      <w:r w:rsidR="002C6AA6" w:rsidRPr="00616FD0">
        <w:rPr>
          <w:b/>
          <w:bCs/>
          <w:sz w:val="24"/>
          <w:szCs w:val="24"/>
        </w:rPr>
        <w:t>76 Opportunity</w:t>
      </w:r>
      <w:r w:rsidR="002C6AA6">
        <w:rPr>
          <w:sz w:val="24"/>
          <w:szCs w:val="24"/>
        </w:rPr>
        <w:t xml:space="preserve"> stickies</w:t>
      </w:r>
      <w:r>
        <w:rPr>
          <w:sz w:val="24"/>
          <w:szCs w:val="24"/>
        </w:rPr>
        <w:t xml:space="preserve">. </w:t>
      </w:r>
    </w:p>
    <w:p w14:paraId="1CAF641E" w14:textId="781CFB80" w:rsidR="00934CE8" w:rsidRDefault="002C6AA6" w:rsidP="009D6E70">
      <w:pPr>
        <w:pStyle w:val="ListParagraph"/>
        <w:numPr>
          <w:ilvl w:val="0"/>
          <w:numId w:val="2"/>
        </w:numPr>
        <w:tabs>
          <w:tab w:val="left" w:pos="3150"/>
        </w:tabs>
        <w:ind w:left="810"/>
        <w:rPr>
          <w:sz w:val="24"/>
          <w:szCs w:val="24"/>
        </w:rPr>
      </w:pPr>
      <w:r>
        <w:rPr>
          <w:sz w:val="24"/>
          <w:szCs w:val="24"/>
        </w:rPr>
        <w:t>Ecology analyzed</w:t>
      </w:r>
      <w:r w:rsidR="001D68A6">
        <w:rPr>
          <w:sz w:val="24"/>
          <w:szCs w:val="24"/>
        </w:rPr>
        <w:t xml:space="preserve"> the first meeting sticky notes and surveys to create a SWOT analysis</w:t>
      </w:r>
      <w:r w:rsidR="009E3BC4">
        <w:rPr>
          <w:sz w:val="24"/>
          <w:szCs w:val="24"/>
        </w:rPr>
        <w:t xml:space="preserve"> and frequency analysis</w:t>
      </w:r>
      <w:r w:rsidR="001D68A6">
        <w:rPr>
          <w:sz w:val="24"/>
          <w:szCs w:val="24"/>
        </w:rPr>
        <w:t xml:space="preserve"> to help understand the possible opportunities and more pressing barriers that will help to draft </w:t>
      </w:r>
      <w:r w:rsidR="00167388">
        <w:rPr>
          <w:sz w:val="24"/>
          <w:szCs w:val="24"/>
        </w:rPr>
        <w:t xml:space="preserve">the </w:t>
      </w:r>
      <w:r w:rsidR="001D68A6">
        <w:rPr>
          <w:sz w:val="24"/>
          <w:szCs w:val="24"/>
        </w:rPr>
        <w:t xml:space="preserve">recommendations. </w:t>
      </w:r>
    </w:p>
    <w:p w14:paraId="0FBA43AE" w14:textId="5366702D" w:rsidR="00934CE8" w:rsidRPr="002C6AA6" w:rsidRDefault="002C6AA6" w:rsidP="009D6E70">
      <w:pPr>
        <w:pStyle w:val="ListParagraph"/>
        <w:numPr>
          <w:ilvl w:val="0"/>
          <w:numId w:val="2"/>
        </w:numPr>
        <w:tabs>
          <w:tab w:val="left" w:pos="3150"/>
        </w:tabs>
        <w:ind w:left="810" w:right="-90"/>
        <w:rPr>
          <w:sz w:val="24"/>
          <w:szCs w:val="24"/>
        </w:rPr>
      </w:pPr>
      <w:r>
        <w:rPr>
          <w:sz w:val="24"/>
          <w:szCs w:val="24"/>
        </w:rPr>
        <w:t xml:space="preserve">Ecology </w:t>
      </w:r>
      <w:r w:rsidR="009E3BC4">
        <w:rPr>
          <w:sz w:val="24"/>
          <w:szCs w:val="24"/>
        </w:rPr>
        <w:t xml:space="preserve">further refined the data of the </w:t>
      </w:r>
      <w:r w:rsidR="009E3BC4" w:rsidRPr="00C80E85">
        <w:rPr>
          <w:b/>
          <w:bCs/>
          <w:sz w:val="24"/>
          <w:szCs w:val="24"/>
        </w:rPr>
        <w:t>SWOT analysis</w:t>
      </w:r>
      <w:r w:rsidR="009E3BC4">
        <w:rPr>
          <w:sz w:val="24"/>
          <w:szCs w:val="24"/>
        </w:rPr>
        <w:t xml:space="preserve"> </w:t>
      </w:r>
      <w:r w:rsidR="00934CE8">
        <w:rPr>
          <w:sz w:val="24"/>
          <w:szCs w:val="24"/>
        </w:rPr>
        <w:t xml:space="preserve">through the lens of 10 categories: Logistics, Partnerships, Infrastructure, Incentives, Technology, Best Practices, Policies, Pilots, Transportation and Metrics. </w:t>
      </w:r>
      <w:r w:rsidR="00934CE8" w:rsidRPr="002C6AA6">
        <w:rPr>
          <w:sz w:val="24"/>
          <w:szCs w:val="24"/>
        </w:rPr>
        <w:t>The categories will continue to be defined as more research is done to create the most representative categories</w:t>
      </w:r>
      <w:r>
        <w:rPr>
          <w:sz w:val="24"/>
          <w:szCs w:val="24"/>
        </w:rPr>
        <w:t xml:space="preserve"> and themes</w:t>
      </w:r>
      <w:r w:rsidR="00934CE8" w:rsidRPr="002C6AA6">
        <w:rPr>
          <w:sz w:val="24"/>
          <w:szCs w:val="24"/>
        </w:rPr>
        <w:t xml:space="preserve"> for the recommendations.  </w:t>
      </w:r>
    </w:p>
    <w:p w14:paraId="1ED003BC" w14:textId="3E943B72" w:rsidR="002C6AA6" w:rsidRDefault="002C6AA6" w:rsidP="00934CE8">
      <w:pPr>
        <w:pStyle w:val="ListParagraph"/>
        <w:numPr>
          <w:ilvl w:val="1"/>
          <w:numId w:val="2"/>
        </w:numPr>
        <w:tabs>
          <w:tab w:val="left" w:pos="3150"/>
        </w:tabs>
        <w:ind w:right="-630"/>
        <w:rPr>
          <w:sz w:val="24"/>
          <w:szCs w:val="24"/>
        </w:rPr>
      </w:pPr>
      <w:r w:rsidRPr="009D6E70">
        <w:rPr>
          <w:b/>
          <w:bCs/>
          <w:sz w:val="24"/>
          <w:szCs w:val="24"/>
        </w:rPr>
        <w:t>Logistics:</w:t>
      </w:r>
      <w:r>
        <w:rPr>
          <w:sz w:val="24"/>
          <w:szCs w:val="24"/>
        </w:rPr>
        <w:t xml:space="preserve"> </w:t>
      </w:r>
      <w:r w:rsidR="00290450" w:rsidRPr="00290450">
        <w:rPr>
          <w:sz w:val="24"/>
          <w:szCs w:val="24"/>
        </w:rPr>
        <w:t>Consistency</w:t>
      </w:r>
      <w:r w:rsidR="00290450">
        <w:rPr>
          <w:sz w:val="24"/>
          <w:szCs w:val="24"/>
        </w:rPr>
        <w:t xml:space="preserve">, </w:t>
      </w:r>
      <w:r w:rsidR="00290450" w:rsidRPr="00290450">
        <w:rPr>
          <w:sz w:val="24"/>
          <w:szCs w:val="24"/>
        </w:rPr>
        <w:t xml:space="preserve">reliability, </w:t>
      </w:r>
      <w:r w:rsidR="00290450">
        <w:rPr>
          <w:sz w:val="24"/>
          <w:szCs w:val="24"/>
        </w:rPr>
        <w:t>coordination,</w:t>
      </w:r>
      <w:r w:rsidR="00290450" w:rsidRPr="00290450">
        <w:rPr>
          <w:sz w:val="24"/>
          <w:szCs w:val="24"/>
        </w:rPr>
        <w:t xml:space="preserve"> staff turnover, volunteer based</w:t>
      </w:r>
      <w:r w:rsidR="00290450">
        <w:rPr>
          <w:sz w:val="24"/>
          <w:szCs w:val="24"/>
        </w:rPr>
        <w:t>,</w:t>
      </w:r>
      <w:r w:rsidR="00290450" w:rsidRPr="00290450">
        <w:rPr>
          <w:sz w:val="24"/>
          <w:szCs w:val="24"/>
        </w:rPr>
        <w:t xml:space="preserve"> capacity </w:t>
      </w:r>
      <w:r w:rsidR="00676A79">
        <w:rPr>
          <w:sz w:val="24"/>
          <w:szCs w:val="24"/>
        </w:rPr>
        <w:t xml:space="preserve">for </w:t>
      </w:r>
      <w:r w:rsidR="00290450" w:rsidRPr="00290450">
        <w:rPr>
          <w:sz w:val="24"/>
          <w:szCs w:val="24"/>
        </w:rPr>
        <w:t>processing/value-added products</w:t>
      </w:r>
    </w:p>
    <w:p w14:paraId="03D21E15" w14:textId="63749482" w:rsidR="002C6AA6" w:rsidRDefault="002C6AA6" w:rsidP="00934CE8">
      <w:pPr>
        <w:pStyle w:val="ListParagraph"/>
        <w:numPr>
          <w:ilvl w:val="1"/>
          <w:numId w:val="2"/>
        </w:numPr>
        <w:tabs>
          <w:tab w:val="left" w:pos="3150"/>
        </w:tabs>
        <w:ind w:right="-630"/>
        <w:rPr>
          <w:sz w:val="24"/>
          <w:szCs w:val="24"/>
        </w:rPr>
      </w:pPr>
      <w:r w:rsidRPr="009D6E70">
        <w:rPr>
          <w:b/>
          <w:bCs/>
          <w:sz w:val="24"/>
          <w:szCs w:val="24"/>
        </w:rPr>
        <w:t>Partnerships:</w:t>
      </w:r>
      <w:r w:rsidR="00290450" w:rsidRPr="00290450">
        <w:t xml:space="preserve"> </w:t>
      </w:r>
      <w:r w:rsidR="00290450" w:rsidRPr="00290450">
        <w:rPr>
          <w:sz w:val="24"/>
          <w:szCs w:val="24"/>
        </w:rPr>
        <w:t xml:space="preserve">Communication, </w:t>
      </w:r>
      <w:r w:rsidR="00290450">
        <w:rPr>
          <w:sz w:val="24"/>
          <w:szCs w:val="24"/>
        </w:rPr>
        <w:t xml:space="preserve">collaboration, </w:t>
      </w:r>
      <w:r w:rsidR="00290450" w:rsidRPr="00290450">
        <w:rPr>
          <w:sz w:val="24"/>
          <w:szCs w:val="24"/>
        </w:rPr>
        <w:t xml:space="preserve">coordination, </w:t>
      </w:r>
      <w:r w:rsidR="00290450">
        <w:rPr>
          <w:sz w:val="24"/>
          <w:szCs w:val="24"/>
        </w:rPr>
        <w:t xml:space="preserve">engagement, </w:t>
      </w:r>
      <w:r w:rsidR="00290450" w:rsidRPr="00290450">
        <w:rPr>
          <w:sz w:val="24"/>
          <w:szCs w:val="24"/>
        </w:rPr>
        <w:t>interagency/multi sector relationships</w:t>
      </w:r>
    </w:p>
    <w:p w14:paraId="137A80D3" w14:textId="26A2FBDC" w:rsidR="002C6AA6" w:rsidRDefault="002C6AA6" w:rsidP="009D6E70">
      <w:pPr>
        <w:pStyle w:val="ListParagraph"/>
        <w:numPr>
          <w:ilvl w:val="1"/>
          <w:numId w:val="2"/>
        </w:numPr>
        <w:tabs>
          <w:tab w:val="left" w:pos="3150"/>
        </w:tabs>
        <w:rPr>
          <w:sz w:val="24"/>
          <w:szCs w:val="24"/>
        </w:rPr>
      </w:pPr>
      <w:r w:rsidRPr="009D6E70">
        <w:rPr>
          <w:b/>
          <w:bCs/>
          <w:sz w:val="24"/>
          <w:szCs w:val="24"/>
        </w:rPr>
        <w:t>Infrastructure:</w:t>
      </w:r>
      <w:r w:rsidR="00290450">
        <w:rPr>
          <w:sz w:val="24"/>
          <w:szCs w:val="24"/>
        </w:rPr>
        <w:t xml:space="preserve"> Cold storage, </w:t>
      </w:r>
      <w:r w:rsidR="00290450" w:rsidRPr="00290450">
        <w:rPr>
          <w:sz w:val="24"/>
          <w:szCs w:val="24"/>
        </w:rPr>
        <w:t>processing/value-added products, commercial kitchen</w:t>
      </w:r>
    </w:p>
    <w:p w14:paraId="70B2E612" w14:textId="65B95F35" w:rsidR="002C6AA6" w:rsidRDefault="002C6AA6" w:rsidP="009D6E70">
      <w:pPr>
        <w:pStyle w:val="ListParagraph"/>
        <w:numPr>
          <w:ilvl w:val="1"/>
          <w:numId w:val="2"/>
        </w:numPr>
        <w:tabs>
          <w:tab w:val="left" w:pos="3150"/>
        </w:tabs>
        <w:rPr>
          <w:sz w:val="24"/>
          <w:szCs w:val="24"/>
        </w:rPr>
      </w:pPr>
      <w:r w:rsidRPr="00676A79">
        <w:rPr>
          <w:b/>
          <w:bCs/>
          <w:sz w:val="24"/>
          <w:szCs w:val="24"/>
        </w:rPr>
        <w:t>Incentives:</w:t>
      </w:r>
      <w:r w:rsidR="00290450" w:rsidRPr="00290450">
        <w:t xml:space="preserve"> </w:t>
      </w:r>
      <w:r w:rsidR="00290450" w:rsidRPr="00290450">
        <w:rPr>
          <w:sz w:val="24"/>
          <w:szCs w:val="24"/>
        </w:rPr>
        <w:t xml:space="preserve">Funding </w:t>
      </w:r>
      <w:r w:rsidR="00676A79">
        <w:rPr>
          <w:sz w:val="24"/>
          <w:szCs w:val="24"/>
        </w:rPr>
        <w:t>through</w:t>
      </w:r>
      <w:r w:rsidR="00290450">
        <w:rPr>
          <w:sz w:val="24"/>
          <w:szCs w:val="24"/>
        </w:rPr>
        <w:t xml:space="preserve"> grants, tax deductions, subsidies,</w:t>
      </w:r>
      <w:r w:rsidR="00290450" w:rsidRPr="00290450">
        <w:rPr>
          <w:sz w:val="24"/>
          <w:szCs w:val="24"/>
        </w:rPr>
        <w:t xml:space="preserve"> </w:t>
      </w:r>
      <w:r w:rsidR="00290450">
        <w:rPr>
          <w:sz w:val="24"/>
          <w:szCs w:val="24"/>
        </w:rPr>
        <w:t xml:space="preserve">funding </w:t>
      </w:r>
      <w:r w:rsidR="00290450" w:rsidRPr="00290450">
        <w:rPr>
          <w:sz w:val="24"/>
          <w:szCs w:val="24"/>
        </w:rPr>
        <w:t>for composting food, fines for noncompliance</w:t>
      </w:r>
    </w:p>
    <w:p w14:paraId="66D3B92C" w14:textId="361942ED" w:rsidR="002C6AA6" w:rsidRDefault="002C6AA6" w:rsidP="009D6E70">
      <w:pPr>
        <w:pStyle w:val="ListParagraph"/>
        <w:numPr>
          <w:ilvl w:val="1"/>
          <w:numId w:val="2"/>
        </w:numPr>
        <w:tabs>
          <w:tab w:val="left" w:pos="3150"/>
        </w:tabs>
        <w:rPr>
          <w:sz w:val="24"/>
          <w:szCs w:val="24"/>
        </w:rPr>
      </w:pPr>
      <w:r w:rsidRPr="009D6E70">
        <w:rPr>
          <w:b/>
          <w:bCs/>
          <w:sz w:val="24"/>
          <w:szCs w:val="24"/>
        </w:rPr>
        <w:t>Technology:</w:t>
      </w:r>
      <w:r w:rsidR="00290450" w:rsidRPr="00290450">
        <w:t xml:space="preserve"> </w:t>
      </w:r>
      <w:r w:rsidR="00290450" w:rsidRPr="00290450">
        <w:rPr>
          <w:sz w:val="24"/>
          <w:szCs w:val="24"/>
        </w:rPr>
        <w:t xml:space="preserve">Online marketplace - collaboration, connecting </w:t>
      </w:r>
      <w:r w:rsidR="00290450">
        <w:rPr>
          <w:sz w:val="24"/>
          <w:szCs w:val="24"/>
        </w:rPr>
        <w:t xml:space="preserve">stakeholders, </w:t>
      </w:r>
      <w:r w:rsidR="00290450" w:rsidRPr="00290450">
        <w:rPr>
          <w:sz w:val="24"/>
          <w:szCs w:val="24"/>
        </w:rPr>
        <w:t>producers to consumers</w:t>
      </w:r>
      <w:r w:rsidR="00290450">
        <w:rPr>
          <w:sz w:val="24"/>
          <w:szCs w:val="24"/>
        </w:rPr>
        <w:t>,</w:t>
      </w:r>
      <w:r w:rsidR="00290450" w:rsidRPr="00290450">
        <w:t xml:space="preserve"> </w:t>
      </w:r>
      <w:r w:rsidR="00290450" w:rsidRPr="00290450">
        <w:rPr>
          <w:sz w:val="24"/>
          <w:szCs w:val="24"/>
        </w:rPr>
        <w:t xml:space="preserve">infrastructure and information </w:t>
      </w:r>
      <w:r w:rsidR="00676A79">
        <w:rPr>
          <w:sz w:val="24"/>
          <w:szCs w:val="24"/>
        </w:rPr>
        <w:t xml:space="preserve">sharing </w:t>
      </w:r>
      <w:r w:rsidR="00290450" w:rsidRPr="00290450">
        <w:rPr>
          <w:sz w:val="24"/>
          <w:szCs w:val="24"/>
        </w:rPr>
        <w:t>resource</w:t>
      </w:r>
    </w:p>
    <w:p w14:paraId="35AA23C5" w14:textId="4B2229BC" w:rsidR="002C6AA6" w:rsidRDefault="002C6AA6" w:rsidP="009D6E70">
      <w:pPr>
        <w:pStyle w:val="ListParagraph"/>
        <w:numPr>
          <w:ilvl w:val="1"/>
          <w:numId w:val="2"/>
        </w:numPr>
        <w:tabs>
          <w:tab w:val="left" w:pos="3150"/>
        </w:tabs>
        <w:ind w:right="-90"/>
        <w:rPr>
          <w:sz w:val="24"/>
          <w:szCs w:val="24"/>
        </w:rPr>
      </w:pPr>
      <w:r w:rsidRPr="009D6E70">
        <w:rPr>
          <w:b/>
          <w:bCs/>
          <w:sz w:val="24"/>
          <w:szCs w:val="24"/>
        </w:rPr>
        <w:t>Best Practices:</w:t>
      </w:r>
      <w:r w:rsidR="00290450" w:rsidRPr="00290450">
        <w:t xml:space="preserve"> </w:t>
      </w:r>
      <w:r w:rsidR="00290450" w:rsidRPr="00290450">
        <w:rPr>
          <w:sz w:val="24"/>
          <w:szCs w:val="24"/>
        </w:rPr>
        <w:t>Food recovery worked into job description/SOP</w:t>
      </w:r>
      <w:r w:rsidR="00290450">
        <w:rPr>
          <w:sz w:val="24"/>
          <w:szCs w:val="24"/>
        </w:rPr>
        <w:t>, e</w:t>
      </w:r>
      <w:r w:rsidR="00290450" w:rsidRPr="00290450">
        <w:rPr>
          <w:sz w:val="24"/>
          <w:szCs w:val="24"/>
        </w:rPr>
        <w:t>ducation</w:t>
      </w:r>
      <w:r w:rsidR="00290450">
        <w:rPr>
          <w:sz w:val="24"/>
          <w:szCs w:val="24"/>
        </w:rPr>
        <w:t xml:space="preserve"> and </w:t>
      </w:r>
      <w:r w:rsidR="00290450" w:rsidRPr="00290450">
        <w:rPr>
          <w:sz w:val="24"/>
          <w:szCs w:val="24"/>
        </w:rPr>
        <w:t>guidelines for businesses and managers</w:t>
      </w:r>
      <w:r w:rsidR="00290450">
        <w:rPr>
          <w:sz w:val="24"/>
          <w:szCs w:val="24"/>
        </w:rPr>
        <w:t>, t</w:t>
      </w:r>
      <w:r w:rsidR="00290450" w:rsidRPr="00290450">
        <w:rPr>
          <w:sz w:val="24"/>
          <w:szCs w:val="24"/>
        </w:rPr>
        <w:t xml:space="preserve">oolkit </w:t>
      </w:r>
      <w:r w:rsidR="00676A79">
        <w:rPr>
          <w:sz w:val="24"/>
          <w:szCs w:val="24"/>
        </w:rPr>
        <w:t xml:space="preserve">created </w:t>
      </w:r>
      <w:r w:rsidR="00290450" w:rsidRPr="00290450">
        <w:rPr>
          <w:sz w:val="24"/>
          <w:szCs w:val="24"/>
        </w:rPr>
        <w:t>to fit industry and size of business</w:t>
      </w:r>
    </w:p>
    <w:p w14:paraId="287C808A" w14:textId="239BA470" w:rsidR="002C6AA6" w:rsidRDefault="002C6AA6" w:rsidP="009D6E70">
      <w:pPr>
        <w:pStyle w:val="ListParagraph"/>
        <w:numPr>
          <w:ilvl w:val="1"/>
          <w:numId w:val="2"/>
        </w:numPr>
        <w:tabs>
          <w:tab w:val="left" w:pos="3150"/>
        </w:tabs>
        <w:ind w:right="-90"/>
        <w:rPr>
          <w:sz w:val="24"/>
          <w:szCs w:val="24"/>
        </w:rPr>
      </w:pPr>
      <w:r w:rsidRPr="009D6E70">
        <w:rPr>
          <w:b/>
          <w:bCs/>
          <w:sz w:val="24"/>
          <w:szCs w:val="24"/>
        </w:rPr>
        <w:t>Policies:</w:t>
      </w:r>
      <w:r w:rsidR="00290450" w:rsidRPr="00290450">
        <w:t xml:space="preserve"> </w:t>
      </w:r>
      <w:r w:rsidR="00290450" w:rsidRPr="00290450">
        <w:rPr>
          <w:sz w:val="24"/>
          <w:szCs w:val="24"/>
        </w:rPr>
        <w:t>Food safety - food labeling and standardization of trainings and protocols</w:t>
      </w:r>
      <w:r w:rsidR="00290450">
        <w:rPr>
          <w:sz w:val="24"/>
          <w:szCs w:val="24"/>
        </w:rPr>
        <w:t xml:space="preserve">, </w:t>
      </w:r>
      <w:r w:rsidR="00290450" w:rsidRPr="00290450">
        <w:rPr>
          <w:sz w:val="24"/>
          <w:szCs w:val="24"/>
        </w:rPr>
        <w:t>consistency</w:t>
      </w:r>
      <w:r w:rsidR="00290450">
        <w:rPr>
          <w:sz w:val="24"/>
          <w:szCs w:val="24"/>
        </w:rPr>
        <w:t xml:space="preserve"> </w:t>
      </w:r>
    </w:p>
    <w:p w14:paraId="2E82C569" w14:textId="78A7EF2E" w:rsidR="002C6AA6" w:rsidRDefault="002C6AA6" w:rsidP="00934CE8">
      <w:pPr>
        <w:pStyle w:val="ListParagraph"/>
        <w:numPr>
          <w:ilvl w:val="1"/>
          <w:numId w:val="2"/>
        </w:numPr>
        <w:tabs>
          <w:tab w:val="left" w:pos="3150"/>
        </w:tabs>
        <w:ind w:right="-630"/>
        <w:rPr>
          <w:sz w:val="24"/>
          <w:szCs w:val="24"/>
        </w:rPr>
      </w:pPr>
      <w:r w:rsidRPr="009D6E70">
        <w:rPr>
          <w:b/>
          <w:bCs/>
          <w:sz w:val="24"/>
          <w:szCs w:val="24"/>
        </w:rPr>
        <w:t>Pilots:</w:t>
      </w:r>
      <w:r w:rsidR="00290450" w:rsidRPr="00290450">
        <w:t xml:space="preserve"> </w:t>
      </w:r>
      <w:r w:rsidR="00290450" w:rsidRPr="00290450">
        <w:rPr>
          <w:sz w:val="24"/>
          <w:szCs w:val="24"/>
        </w:rPr>
        <w:t>Business opportunities</w:t>
      </w:r>
      <w:r w:rsidR="00676A79">
        <w:rPr>
          <w:sz w:val="24"/>
          <w:szCs w:val="24"/>
        </w:rPr>
        <w:t xml:space="preserve"> </w:t>
      </w:r>
    </w:p>
    <w:p w14:paraId="259E2CA3" w14:textId="0F2B874A" w:rsidR="002C6AA6" w:rsidRDefault="002C6AA6" w:rsidP="009D6E70">
      <w:pPr>
        <w:pStyle w:val="ListParagraph"/>
        <w:numPr>
          <w:ilvl w:val="1"/>
          <w:numId w:val="2"/>
        </w:numPr>
        <w:tabs>
          <w:tab w:val="left" w:pos="3150"/>
        </w:tabs>
        <w:rPr>
          <w:sz w:val="24"/>
          <w:szCs w:val="24"/>
        </w:rPr>
      </w:pPr>
      <w:r w:rsidRPr="009D6E70">
        <w:rPr>
          <w:b/>
          <w:bCs/>
          <w:sz w:val="24"/>
          <w:szCs w:val="24"/>
        </w:rPr>
        <w:t>Transportation:</w:t>
      </w:r>
      <w:r w:rsidR="00290450" w:rsidRPr="00290450">
        <w:t xml:space="preserve"> </w:t>
      </w:r>
      <w:r w:rsidR="00290450" w:rsidRPr="00290450">
        <w:rPr>
          <w:sz w:val="24"/>
          <w:szCs w:val="24"/>
        </w:rPr>
        <w:t>Consistency</w:t>
      </w:r>
      <w:r w:rsidR="00290450">
        <w:rPr>
          <w:sz w:val="24"/>
          <w:szCs w:val="24"/>
        </w:rPr>
        <w:t xml:space="preserve">, </w:t>
      </w:r>
      <w:r w:rsidR="00290450" w:rsidRPr="00290450">
        <w:rPr>
          <w:sz w:val="24"/>
          <w:szCs w:val="24"/>
        </w:rPr>
        <w:t xml:space="preserve">reliability, </w:t>
      </w:r>
      <w:r w:rsidR="00290450">
        <w:rPr>
          <w:sz w:val="24"/>
          <w:szCs w:val="24"/>
        </w:rPr>
        <w:t>funding</w:t>
      </w:r>
      <w:r w:rsidR="00290450" w:rsidRPr="00290450">
        <w:rPr>
          <w:sz w:val="24"/>
          <w:szCs w:val="24"/>
        </w:rPr>
        <w:t xml:space="preserve"> for staff, </w:t>
      </w:r>
      <w:r w:rsidR="00676A79">
        <w:rPr>
          <w:sz w:val="24"/>
          <w:szCs w:val="24"/>
        </w:rPr>
        <w:t xml:space="preserve">utilizing </w:t>
      </w:r>
      <w:r w:rsidR="00290450" w:rsidRPr="00290450">
        <w:rPr>
          <w:sz w:val="24"/>
          <w:szCs w:val="24"/>
        </w:rPr>
        <w:t>empty trucks</w:t>
      </w:r>
      <w:r w:rsidR="00290450">
        <w:rPr>
          <w:sz w:val="24"/>
          <w:szCs w:val="24"/>
        </w:rPr>
        <w:t>, s</w:t>
      </w:r>
      <w:r w:rsidR="00290450" w:rsidRPr="00290450">
        <w:rPr>
          <w:sz w:val="24"/>
          <w:szCs w:val="24"/>
        </w:rPr>
        <w:t>tandardized routes, food safety</w:t>
      </w:r>
      <w:r w:rsidR="00676A79">
        <w:rPr>
          <w:sz w:val="24"/>
          <w:szCs w:val="24"/>
        </w:rPr>
        <w:t xml:space="preserve"> taken into consideration</w:t>
      </w:r>
      <w:r w:rsidR="00290450" w:rsidRPr="00290450">
        <w:rPr>
          <w:sz w:val="24"/>
          <w:szCs w:val="24"/>
        </w:rPr>
        <w:t>, volunteer run pickups</w:t>
      </w:r>
    </w:p>
    <w:p w14:paraId="7BB0DE3D" w14:textId="07431818" w:rsidR="002C6AA6" w:rsidRDefault="002C6AA6" w:rsidP="009D6E70">
      <w:pPr>
        <w:pStyle w:val="ListParagraph"/>
        <w:numPr>
          <w:ilvl w:val="1"/>
          <w:numId w:val="2"/>
        </w:numPr>
        <w:tabs>
          <w:tab w:val="left" w:pos="3150"/>
        </w:tabs>
        <w:ind w:right="-90"/>
        <w:rPr>
          <w:sz w:val="24"/>
          <w:szCs w:val="24"/>
        </w:rPr>
      </w:pPr>
      <w:r w:rsidRPr="009D6E70">
        <w:rPr>
          <w:b/>
          <w:bCs/>
          <w:sz w:val="24"/>
          <w:szCs w:val="24"/>
        </w:rPr>
        <w:t>Metrics:</w:t>
      </w:r>
      <w:r w:rsidR="00290450" w:rsidRPr="00290450">
        <w:t xml:space="preserve"> </w:t>
      </w:r>
      <w:r w:rsidR="00290450" w:rsidRPr="00290450">
        <w:rPr>
          <w:sz w:val="24"/>
          <w:szCs w:val="24"/>
        </w:rPr>
        <w:t>Data on commercial and residential food generators, consistency, data on specific foods and crops</w:t>
      </w:r>
      <w:r w:rsidR="00290450">
        <w:rPr>
          <w:sz w:val="24"/>
          <w:szCs w:val="24"/>
        </w:rPr>
        <w:t>,</w:t>
      </w:r>
      <w:r w:rsidR="00290450" w:rsidRPr="00290450">
        <w:rPr>
          <w:sz w:val="24"/>
          <w:szCs w:val="24"/>
        </w:rPr>
        <w:t xml:space="preserve"> life-cycle analysis of supply chain</w:t>
      </w:r>
    </w:p>
    <w:p w14:paraId="098940F4" w14:textId="5F183456" w:rsidR="009E3BC4" w:rsidRDefault="009E3BC4" w:rsidP="009E3BC4">
      <w:pPr>
        <w:pStyle w:val="ListParagraph"/>
        <w:numPr>
          <w:ilvl w:val="0"/>
          <w:numId w:val="2"/>
        </w:numPr>
        <w:tabs>
          <w:tab w:val="left" w:pos="3150"/>
        </w:tabs>
        <w:ind w:right="-90"/>
        <w:rPr>
          <w:sz w:val="24"/>
          <w:szCs w:val="24"/>
        </w:rPr>
      </w:pPr>
      <w:r>
        <w:rPr>
          <w:sz w:val="24"/>
          <w:szCs w:val="24"/>
        </w:rPr>
        <w:t xml:space="preserve">The </w:t>
      </w:r>
      <w:r w:rsidRPr="00167388">
        <w:rPr>
          <w:b/>
          <w:bCs/>
          <w:sz w:val="24"/>
          <w:szCs w:val="24"/>
        </w:rPr>
        <w:t xml:space="preserve">top </w:t>
      </w:r>
      <w:r w:rsidR="00C80E85">
        <w:rPr>
          <w:b/>
          <w:bCs/>
          <w:sz w:val="24"/>
          <w:szCs w:val="24"/>
        </w:rPr>
        <w:t>9</w:t>
      </w:r>
      <w:r w:rsidRPr="00167388">
        <w:rPr>
          <w:b/>
          <w:bCs/>
          <w:sz w:val="24"/>
          <w:szCs w:val="24"/>
        </w:rPr>
        <w:t xml:space="preserve"> t</w:t>
      </w:r>
      <w:r w:rsidR="00167388" w:rsidRPr="00167388">
        <w:rPr>
          <w:b/>
          <w:bCs/>
          <w:sz w:val="24"/>
          <w:szCs w:val="24"/>
        </w:rPr>
        <w:t>opics</w:t>
      </w:r>
      <w:r>
        <w:rPr>
          <w:sz w:val="24"/>
          <w:szCs w:val="24"/>
        </w:rPr>
        <w:t xml:space="preserve"> the </w:t>
      </w:r>
      <w:r w:rsidR="00C80E85" w:rsidRPr="00C80E85">
        <w:rPr>
          <w:b/>
          <w:bCs/>
          <w:sz w:val="24"/>
          <w:szCs w:val="24"/>
        </w:rPr>
        <w:t>F</w:t>
      </w:r>
      <w:r w:rsidRPr="00C80E85">
        <w:rPr>
          <w:b/>
          <w:bCs/>
          <w:sz w:val="24"/>
          <w:szCs w:val="24"/>
        </w:rPr>
        <w:t xml:space="preserve">requency </w:t>
      </w:r>
      <w:r w:rsidR="00C80E85" w:rsidRPr="00C80E85">
        <w:rPr>
          <w:b/>
          <w:bCs/>
          <w:sz w:val="24"/>
          <w:szCs w:val="24"/>
        </w:rPr>
        <w:t>A</w:t>
      </w:r>
      <w:r w:rsidRPr="00C80E85">
        <w:rPr>
          <w:b/>
          <w:bCs/>
          <w:sz w:val="24"/>
          <w:szCs w:val="24"/>
        </w:rPr>
        <w:t>nalysis</w:t>
      </w:r>
      <w:r>
        <w:rPr>
          <w:sz w:val="24"/>
          <w:szCs w:val="24"/>
        </w:rPr>
        <w:t xml:space="preserve"> highlighted </w:t>
      </w:r>
      <w:r w:rsidR="00167388">
        <w:rPr>
          <w:sz w:val="24"/>
          <w:szCs w:val="24"/>
        </w:rPr>
        <w:t>were</w:t>
      </w:r>
      <w:r>
        <w:rPr>
          <w:sz w:val="24"/>
          <w:szCs w:val="24"/>
        </w:rPr>
        <w:t xml:space="preserve"> </w:t>
      </w:r>
      <w:r w:rsidRPr="00167388">
        <w:rPr>
          <w:sz w:val="24"/>
          <w:szCs w:val="24"/>
        </w:rPr>
        <w:t>partnerships, food safety policy, education on policy at the business and organization level, funding for infrastructure – cold storage, transportation, technology</w:t>
      </w:r>
      <w:r w:rsidR="00167388" w:rsidRPr="00167388">
        <w:rPr>
          <w:sz w:val="24"/>
          <w:szCs w:val="24"/>
        </w:rPr>
        <w:t>,</w:t>
      </w:r>
      <w:r w:rsidRPr="00167388">
        <w:rPr>
          <w:sz w:val="24"/>
          <w:szCs w:val="24"/>
        </w:rPr>
        <w:t xml:space="preserve"> funding opportunities</w:t>
      </w:r>
      <w:r w:rsidR="00167388">
        <w:rPr>
          <w:sz w:val="24"/>
          <w:szCs w:val="24"/>
        </w:rPr>
        <w:t xml:space="preserve">, processing of ingredients, </w:t>
      </w:r>
      <w:r w:rsidR="00C80E85">
        <w:rPr>
          <w:sz w:val="24"/>
          <w:szCs w:val="24"/>
        </w:rPr>
        <w:t xml:space="preserve">and </w:t>
      </w:r>
      <w:r w:rsidR="00167388">
        <w:rPr>
          <w:sz w:val="24"/>
          <w:szCs w:val="24"/>
        </w:rPr>
        <w:t>staffing</w:t>
      </w:r>
      <w:r w:rsidR="00C80E85">
        <w:rPr>
          <w:sz w:val="24"/>
          <w:szCs w:val="24"/>
        </w:rPr>
        <w:t>.</w:t>
      </w:r>
      <w:r w:rsidR="006D3FA4">
        <w:rPr>
          <w:sz w:val="24"/>
          <w:szCs w:val="24"/>
        </w:rPr>
        <w:t xml:space="preserve"> Detailed responses, including survey and stickies data, can be found on the </w:t>
      </w:r>
      <w:hyperlink r:id="rId13" w:history="1">
        <w:r w:rsidR="006D3FA4" w:rsidRPr="001D68A6">
          <w:rPr>
            <w:rStyle w:val="Hyperlink"/>
            <w:sz w:val="24"/>
            <w:szCs w:val="24"/>
          </w:rPr>
          <w:t>EZ View webpage</w:t>
        </w:r>
      </w:hyperlink>
      <w:r w:rsidR="006D3FA4" w:rsidRPr="008C30E1">
        <w:rPr>
          <w:sz w:val="24"/>
          <w:szCs w:val="24"/>
        </w:rPr>
        <w:t xml:space="preserve">. </w:t>
      </w:r>
    </w:p>
    <w:p w14:paraId="6138FE9C" w14:textId="77777777" w:rsidR="00CA20BB" w:rsidRDefault="00CA20BB" w:rsidP="00515954">
      <w:pPr>
        <w:tabs>
          <w:tab w:val="left" w:pos="3150"/>
        </w:tabs>
        <w:ind w:left="-450" w:right="-630"/>
        <w:rPr>
          <w:b/>
          <w:bCs/>
          <w:sz w:val="24"/>
          <w:szCs w:val="24"/>
        </w:rPr>
      </w:pPr>
    </w:p>
    <w:p w14:paraId="43C06C89" w14:textId="77777777" w:rsidR="00CA20BB" w:rsidRDefault="00CA20BB" w:rsidP="00515954">
      <w:pPr>
        <w:tabs>
          <w:tab w:val="left" w:pos="3150"/>
        </w:tabs>
        <w:ind w:left="-450" w:right="-630"/>
        <w:rPr>
          <w:b/>
          <w:bCs/>
          <w:sz w:val="24"/>
          <w:szCs w:val="24"/>
        </w:rPr>
      </w:pPr>
    </w:p>
    <w:p w14:paraId="73BD9CE5" w14:textId="628C8468" w:rsidR="00515954" w:rsidRPr="00515954" w:rsidRDefault="00016E57" w:rsidP="00515954">
      <w:pPr>
        <w:tabs>
          <w:tab w:val="left" w:pos="3150"/>
        </w:tabs>
        <w:ind w:left="-450" w:right="-630"/>
        <w:rPr>
          <w:b/>
          <w:bCs/>
          <w:sz w:val="24"/>
          <w:szCs w:val="24"/>
        </w:rPr>
      </w:pPr>
      <w:r>
        <w:rPr>
          <w:b/>
          <w:bCs/>
          <w:sz w:val="24"/>
          <w:szCs w:val="24"/>
        </w:rPr>
        <w:t>Risks/Issues</w:t>
      </w:r>
      <w:r w:rsidRPr="00650AFD">
        <w:rPr>
          <w:b/>
          <w:bCs/>
          <w:sz w:val="24"/>
          <w:szCs w:val="24"/>
        </w:rPr>
        <w:t>:</w:t>
      </w:r>
      <w:r w:rsidR="00CD77AB">
        <w:rPr>
          <w:b/>
          <w:bCs/>
          <w:sz w:val="24"/>
          <w:szCs w:val="24"/>
        </w:rPr>
        <w:tab/>
      </w:r>
    </w:p>
    <w:p w14:paraId="570FD534" w14:textId="25BD12D9" w:rsidR="00B14F79" w:rsidRPr="00B10EC1" w:rsidRDefault="00515954" w:rsidP="009D6E70">
      <w:pPr>
        <w:pStyle w:val="ListParagraph"/>
        <w:numPr>
          <w:ilvl w:val="0"/>
          <w:numId w:val="3"/>
        </w:numPr>
        <w:tabs>
          <w:tab w:val="left" w:pos="2250"/>
        </w:tabs>
        <w:ind w:left="810" w:right="-90"/>
        <w:rPr>
          <w:sz w:val="24"/>
          <w:szCs w:val="24"/>
        </w:rPr>
      </w:pPr>
      <w:r>
        <w:rPr>
          <w:sz w:val="24"/>
          <w:szCs w:val="24"/>
        </w:rPr>
        <w:t xml:space="preserve">This project is on a tight timeline to </w:t>
      </w:r>
      <w:r w:rsidR="00934CE8">
        <w:rPr>
          <w:sz w:val="24"/>
          <w:szCs w:val="24"/>
        </w:rPr>
        <w:t>get all the recommendations done by May 1</w:t>
      </w:r>
      <w:r w:rsidR="00E94397">
        <w:rPr>
          <w:sz w:val="24"/>
          <w:szCs w:val="24"/>
        </w:rPr>
        <w:t xml:space="preserve">, </w:t>
      </w:r>
      <w:r w:rsidR="00CA20BB">
        <w:rPr>
          <w:sz w:val="24"/>
          <w:szCs w:val="24"/>
        </w:rPr>
        <w:t>2025,</w:t>
      </w:r>
      <w:r w:rsidR="00934CE8">
        <w:rPr>
          <w:sz w:val="24"/>
          <w:szCs w:val="24"/>
        </w:rPr>
        <w:t xml:space="preserve"> to allow for the report to be drafted and submitted by September 1, 2025. </w:t>
      </w:r>
      <w:r>
        <w:rPr>
          <w:sz w:val="24"/>
          <w:szCs w:val="24"/>
        </w:rPr>
        <w:t xml:space="preserve">We are </w:t>
      </w:r>
      <w:r w:rsidR="009037AE">
        <w:rPr>
          <w:sz w:val="24"/>
          <w:szCs w:val="24"/>
        </w:rPr>
        <w:t>optimistic that</w:t>
      </w:r>
      <w:r>
        <w:rPr>
          <w:sz w:val="24"/>
          <w:szCs w:val="24"/>
        </w:rPr>
        <w:t xml:space="preserve"> through these updates, surveys, </w:t>
      </w:r>
      <w:r w:rsidR="00934CE8">
        <w:rPr>
          <w:sz w:val="24"/>
          <w:szCs w:val="24"/>
        </w:rPr>
        <w:t>recommendation worksheets</w:t>
      </w:r>
      <w:r w:rsidR="009037AE">
        <w:rPr>
          <w:sz w:val="24"/>
          <w:szCs w:val="24"/>
        </w:rPr>
        <w:t>,</w:t>
      </w:r>
      <w:r w:rsidR="00934CE8">
        <w:rPr>
          <w:sz w:val="24"/>
          <w:szCs w:val="24"/>
        </w:rPr>
        <w:t xml:space="preserve"> and </w:t>
      </w:r>
      <w:r w:rsidR="009D0E36">
        <w:rPr>
          <w:sz w:val="24"/>
          <w:szCs w:val="24"/>
        </w:rPr>
        <w:t>monthly meetings</w:t>
      </w:r>
      <w:r w:rsidR="00934CE8">
        <w:rPr>
          <w:sz w:val="24"/>
          <w:szCs w:val="24"/>
        </w:rPr>
        <w:t>,</w:t>
      </w:r>
      <w:r w:rsidR="009037AE">
        <w:rPr>
          <w:sz w:val="24"/>
          <w:szCs w:val="24"/>
        </w:rPr>
        <w:t xml:space="preserve"> </w:t>
      </w:r>
      <w:r>
        <w:rPr>
          <w:sz w:val="24"/>
          <w:szCs w:val="24"/>
        </w:rPr>
        <w:t xml:space="preserve">the </w:t>
      </w:r>
      <w:r w:rsidR="00934CE8">
        <w:rPr>
          <w:sz w:val="24"/>
          <w:szCs w:val="24"/>
        </w:rPr>
        <w:t xml:space="preserve">Food </w:t>
      </w:r>
      <w:r w:rsidR="009D0E36">
        <w:rPr>
          <w:sz w:val="24"/>
          <w:szCs w:val="24"/>
        </w:rPr>
        <w:t>Team will</w:t>
      </w:r>
      <w:r>
        <w:rPr>
          <w:sz w:val="24"/>
          <w:szCs w:val="24"/>
        </w:rPr>
        <w:t xml:space="preserve"> be able to </w:t>
      </w:r>
      <w:r w:rsidR="009D0E36">
        <w:rPr>
          <w:sz w:val="24"/>
          <w:szCs w:val="24"/>
        </w:rPr>
        <w:t xml:space="preserve">write a report representative of the diverse perspectives and recommendations from </w:t>
      </w:r>
      <w:r w:rsidR="00CA20BB">
        <w:rPr>
          <w:sz w:val="24"/>
          <w:szCs w:val="24"/>
        </w:rPr>
        <w:t>all of you</w:t>
      </w:r>
      <w:r w:rsidR="009D0E36">
        <w:rPr>
          <w:sz w:val="24"/>
          <w:szCs w:val="24"/>
        </w:rPr>
        <w:t xml:space="preserve">. </w:t>
      </w:r>
    </w:p>
    <w:p w14:paraId="2944FC62" w14:textId="61B57AB7" w:rsidR="00822059" w:rsidRDefault="001E2015" w:rsidP="001E2015">
      <w:pPr>
        <w:pStyle w:val="Heading1"/>
      </w:pPr>
      <w:r>
        <w:t>Notes from the Facilitator</w:t>
      </w:r>
    </w:p>
    <w:p w14:paraId="76FFBF87" w14:textId="0733B0AB" w:rsidR="00D910BA" w:rsidRPr="00985026" w:rsidRDefault="00CA0494" w:rsidP="00D910BA">
      <w:pPr>
        <w:pStyle w:val="ListParagraph"/>
        <w:numPr>
          <w:ilvl w:val="0"/>
          <w:numId w:val="3"/>
        </w:numPr>
        <w:ind w:left="810"/>
        <w:rPr>
          <w:sz w:val="24"/>
          <w:szCs w:val="24"/>
        </w:rPr>
      </w:pPr>
      <w:r w:rsidRPr="00985026">
        <w:rPr>
          <w:sz w:val="24"/>
          <w:szCs w:val="24"/>
        </w:rPr>
        <w:t xml:space="preserve">Contact </w:t>
      </w:r>
      <w:r w:rsidR="001D68A6">
        <w:rPr>
          <w:sz w:val="24"/>
          <w:szCs w:val="24"/>
        </w:rPr>
        <w:t>us</w:t>
      </w:r>
      <w:r w:rsidRPr="00985026">
        <w:rPr>
          <w:sz w:val="24"/>
          <w:szCs w:val="24"/>
        </w:rPr>
        <w:t xml:space="preserve"> with any questions, concerns, comments, etc. </w:t>
      </w:r>
      <w:r w:rsidR="001D68A6">
        <w:rPr>
          <w:sz w:val="24"/>
          <w:szCs w:val="24"/>
        </w:rPr>
        <w:t>We</w:t>
      </w:r>
      <w:r w:rsidRPr="00985026">
        <w:rPr>
          <w:sz w:val="24"/>
          <w:szCs w:val="24"/>
        </w:rPr>
        <w:t xml:space="preserve"> know the t</w:t>
      </w:r>
      <w:r w:rsidR="00DF0131" w:rsidRPr="00985026">
        <w:rPr>
          <w:sz w:val="24"/>
          <w:szCs w:val="24"/>
        </w:rPr>
        <w:t>urnaround</w:t>
      </w:r>
      <w:r w:rsidRPr="00985026">
        <w:rPr>
          <w:sz w:val="24"/>
          <w:szCs w:val="24"/>
        </w:rPr>
        <w:t xml:space="preserve"> is tight and you all have a lot going on. </w:t>
      </w:r>
      <w:r w:rsidR="00934CE8">
        <w:rPr>
          <w:sz w:val="24"/>
          <w:szCs w:val="24"/>
        </w:rPr>
        <w:t xml:space="preserve">Please let us know if there is anything we can do to help in the process. </w:t>
      </w:r>
    </w:p>
    <w:p w14:paraId="7AEDD655" w14:textId="3F4F4A47" w:rsidR="005049B9" w:rsidRPr="001D68A6" w:rsidRDefault="001D68A6" w:rsidP="001D68A6">
      <w:pPr>
        <w:pStyle w:val="ListParagraph"/>
        <w:numPr>
          <w:ilvl w:val="0"/>
          <w:numId w:val="3"/>
        </w:numPr>
        <w:ind w:left="810"/>
        <w:rPr>
          <w:color w:val="000000" w:themeColor="text1"/>
          <w:sz w:val="24"/>
          <w:szCs w:val="24"/>
        </w:rPr>
      </w:pPr>
      <w:r>
        <w:rPr>
          <w:rStyle w:val="Hyperlink"/>
          <w:color w:val="000000" w:themeColor="text1"/>
          <w:sz w:val="24"/>
          <w:szCs w:val="24"/>
          <w:u w:val="none"/>
        </w:rPr>
        <w:t xml:space="preserve">We look forward to seeing you at </w:t>
      </w:r>
      <w:r w:rsidR="00E94397">
        <w:rPr>
          <w:rStyle w:val="Hyperlink"/>
          <w:color w:val="000000" w:themeColor="text1"/>
          <w:sz w:val="24"/>
          <w:szCs w:val="24"/>
          <w:u w:val="none"/>
        </w:rPr>
        <w:t>future</w:t>
      </w:r>
      <w:r>
        <w:rPr>
          <w:rStyle w:val="Hyperlink"/>
          <w:color w:val="000000" w:themeColor="text1"/>
          <w:sz w:val="24"/>
          <w:szCs w:val="24"/>
          <w:u w:val="none"/>
        </w:rPr>
        <w:t xml:space="preserve"> </w:t>
      </w:r>
      <w:r w:rsidRPr="00934CE8">
        <w:rPr>
          <w:rStyle w:val="Hyperlink"/>
          <w:color w:val="000000" w:themeColor="text1"/>
          <w:sz w:val="24"/>
          <w:szCs w:val="24"/>
          <w:u w:val="none"/>
        </w:rPr>
        <w:t>Food Donation Work Group meeting</w:t>
      </w:r>
      <w:r w:rsidR="00E94397">
        <w:rPr>
          <w:rStyle w:val="Hyperlink"/>
          <w:color w:val="000000" w:themeColor="text1"/>
          <w:sz w:val="24"/>
          <w:szCs w:val="24"/>
          <w:u w:val="none"/>
        </w:rPr>
        <w:t>s</w:t>
      </w:r>
      <w:r w:rsidR="00055796">
        <w:rPr>
          <w:rStyle w:val="Hyperlink"/>
          <w:color w:val="000000" w:themeColor="text1"/>
          <w:sz w:val="24"/>
          <w:szCs w:val="24"/>
          <w:u w:val="none"/>
        </w:rPr>
        <w:t xml:space="preserve">. Thank you for your contributions to this critical work. </w:t>
      </w:r>
    </w:p>
    <w:sectPr w:rsidR="005049B9" w:rsidRPr="001D68A6" w:rsidSect="008A3210">
      <w:headerReference w:type="default" r:id="rId14"/>
      <w:pgSz w:w="12240" w:h="15840"/>
      <w:pgMar w:top="1526" w:right="153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4A87" w14:textId="77777777" w:rsidR="00650AFD" w:rsidRDefault="00650AFD" w:rsidP="00650AFD">
      <w:pPr>
        <w:spacing w:after="0" w:line="240" w:lineRule="auto"/>
      </w:pPr>
      <w:r>
        <w:separator/>
      </w:r>
    </w:p>
  </w:endnote>
  <w:endnote w:type="continuationSeparator" w:id="0">
    <w:p w14:paraId="43B2679E" w14:textId="77777777" w:rsidR="00650AFD" w:rsidRDefault="00650AFD" w:rsidP="00650AFD">
      <w:pPr>
        <w:spacing w:after="0" w:line="240" w:lineRule="auto"/>
      </w:pPr>
      <w:r>
        <w:continuationSeparator/>
      </w:r>
    </w:p>
  </w:endnote>
  <w:endnote w:type="continuationNotice" w:id="1">
    <w:p w14:paraId="16DF95D5" w14:textId="77777777" w:rsidR="0051554E" w:rsidRDefault="00515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98B01" w14:textId="77777777" w:rsidR="00650AFD" w:rsidRDefault="00650AFD" w:rsidP="00650AFD">
      <w:pPr>
        <w:spacing w:after="0" w:line="240" w:lineRule="auto"/>
      </w:pPr>
      <w:r>
        <w:separator/>
      </w:r>
    </w:p>
  </w:footnote>
  <w:footnote w:type="continuationSeparator" w:id="0">
    <w:p w14:paraId="4DA434D5" w14:textId="77777777" w:rsidR="00650AFD" w:rsidRDefault="00650AFD" w:rsidP="00650AFD">
      <w:pPr>
        <w:spacing w:after="0" w:line="240" w:lineRule="auto"/>
      </w:pPr>
      <w:r>
        <w:continuationSeparator/>
      </w:r>
    </w:p>
  </w:footnote>
  <w:footnote w:type="continuationNotice" w:id="1">
    <w:p w14:paraId="26BF12C1" w14:textId="77777777" w:rsidR="0051554E" w:rsidRDefault="00515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564E" w14:textId="05C33BCB" w:rsidR="00650AFD" w:rsidRPr="00144944" w:rsidRDefault="00650AFD" w:rsidP="00144944">
    <w:pPr>
      <w:spacing w:line="264" w:lineRule="auto"/>
      <w:ind w:left="3330"/>
      <w:rPr>
        <w:b/>
        <w:bCs/>
        <w:sz w:val="24"/>
        <w:szCs w:val="24"/>
      </w:rPr>
    </w:pPr>
    <w:r w:rsidRPr="00144944">
      <w:rPr>
        <w:b/>
        <w:bCs/>
        <w:noProof/>
        <w:sz w:val="24"/>
        <w:szCs w:val="24"/>
      </w:rPr>
      <w:drawing>
        <wp:anchor distT="0" distB="0" distL="114300" distR="114300" simplePos="0" relativeHeight="251658240" behindDoc="1" locked="0" layoutInCell="1" allowOverlap="1" wp14:anchorId="1A6F57B2" wp14:editId="5C7CBDBC">
          <wp:simplePos x="0" y="0"/>
          <wp:positionH relativeFrom="column">
            <wp:posOffset>4019550</wp:posOffset>
          </wp:positionH>
          <wp:positionV relativeFrom="paragraph">
            <wp:posOffset>-158115</wp:posOffset>
          </wp:positionV>
          <wp:extent cx="2590800" cy="672612"/>
          <wp:effectExtent l="0" t="0" r="0" b="0"/>
          <wp:wrapTight wrapText="bothSides">
            <wp:wrapPolygon edited="0">
              <wp:start x="0" y="0"/>
              <wp:lineTo x="0" y="20805"/>
              <wp:lineTo x="21441" y="20805"/>
              <wp:lineTo x="21441" y="0"/>
              <wp:lineTo x="0" y="0"/>
            </wp:wrapPolygon>
          </wp:wrapTight>
          <wp:docPr id="1150239987"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19400"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72612"/>
                  </a:xfrm>
                  <a:prstGeom prst="rect">
                    <a:avLst/>
                  </a:prstGeom>
                  <a:noFill/>
                  <a:ln>
                    <a:noFill/>
                  </a:ln>
                </pic:spPr>
              </pic:pic>
            </a:graphicData>
          </a:graphic>
        </wp:anchor>
      </w:drawing>
    </w:r>
    <w:r w:rsidR="00BE5126">
      <w:rPr>
        <w:b/>
        <w:bCs/>
        <w:noProof/>
        <w:sz w:val="24"/>
        <w:szCs w:val="24"/>
      </w:rPr>
      <w:pict w14:anchorId="47E6EA21">
        <v:rect id="Rectangle 72" o:spid="_x0000_s1025" style="position:absolute;left:0;text-align:left;margin-left:0;margin-top:0;width:580.8pt;height:752.4pt;z-index:251658241;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w:r>
    <w:r w:rsidR="006653C8" w:rsidRPr="00144944">
      <w:rPr>
        <w:b/>
        <w:bCs/>
        <w:sz w:val="24"/>
        <w:szCs w:val="24"/>
      </w:rPr>
      <w:t>DATE</w:t>
    </w:r>
    <w:r w:rsidR="00144944">
      <w:rPr>
        <w:b/>
        <w:bCs/>
        <w:sz w:val="24"/>
        <w:szCs w:val="24"/>
      </w:rPr>
      <w:t xml:space="preserve">: </w:t>
    </w:r>
    <w:r w:rsidR="00CA20BB">
      <w:rPr>
        <w:b/>
        <w:bCs/>
        <w:sz w:val="24"/>
        <w:szCs w:val="24"/>
      </w:rPr>
      <w:t>September 5</w:t>
    </w:r>
    <w:r w:rsidR="00105AD2">
      <w:rPr>
        <w:b/>
        <w:bCs/>
        <w:sz w:val="24"/>
        <w:szCs w:val="24"/>
      </w:rPr>
      <w:t>, 2024</w:t>
    </w:r>
  </w:p>
  <w:p w14:paraId="166C0DC8" w14:textId="77777777" w:rsidR="00650AFD" w:rsidRDefault="00650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6FA"/>
    <w:multiLevelType w:val="hybridMultilevel"/>
    <w:tmpl w:val="46A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66396"/>
    <w:multiLevelType w:val="hybridMultilevel"/>
    <w:tmpl w:val="573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E2E56"/>
    <w:multiLevelType w:val="hybridMultilevel"/>
    <w:tmpl w:val="BCC0882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4F13407E"/>
    <w:multiLevelType w:val="hybridMultilevel"/>
    <w:tmpl w:val="E4C0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7C64F5"/>
    <w:multiLevelType w:val="hybridMultilevel"/>
    <w:tmpl w:val="D23E3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790173"/>
    <w:multiLevelType w:val="hybridMultilevel"/>
    <w:tmpl w:val="A454D02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79D406E1"/>
    <w:multiLevelType w:val="hybridMultilevel"/>
    <w:tmpl w:val="526A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914192">
    <w:abstractNumId w:val="1"/>
  </w:num>
  <w:num w:numId="2" w16cid:durableId="662854691">
    <w:abstractNumId w:val="5"/>
  </w:num>
  <w:num w:numId="3" w16cid:durableId="737167047">
    <w:abstractNumId w:val="2"/>
  </w:num>
  <w:num w:numId="4" w16cid:durableId="1208906891">
    <w:abstractNumId w:val="3"/>
  </w:num>
  <w:num w:numId="5" w16cid:durableId="1487937904">
    <w:abstractNumId w:val="6"/>
  </w:num>
  <w:num w:numId="6" w16cid:durableId="1358390828">
    <w:abstractNumId w:val="0"/>
  </w:num>
  <w:num w:numId="7" w16cid:durableId="683097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50AFD"/>
    <w:rsid w:val="00003D4C"/>
    <w:rsid w:val="00016E57"/>
    <w:rsid w:val="00055796"/>
    <w:rsid w:val="00057E85"/>
    <w:rsid w:val="00081403"/>
    <w:rsid w:val="000A0BDF"/>
    <w:rsid w:val="000B014A"/>
    <w:rsid w:val="000B32B8"/>
    <w:rsid w:val="000E2690"/>
    <w:rsid w:val="00105AD2"/>
    <w:rsid w:val="00144944"/>
    <w:rsid w:val="00166BE3"/>
    <w:rsid w:val="00167388"/>
    <w:rsid w:val="001A0C0B"/>
    <w:rsid w:val="001B32D5"/>
    <w:rsid w:val="001D68A6"/>
    <w:rsid w:val="001E2015"/>
    <w:rsid w:val="001E651C"/>
    <w:rsid w:val="002433B5"/>
    <w:rsid w:val="0028054B"/>
    <w:rsid w:val="00290450"/>
    <w:rsid w:val="002C5F26"/>
    <w:rsid w:val="002C6AA6"/>
    <w:rsid w:val="002E2664"/>
    <w:rsid w:val="002F5A82"/>
    <w:rsid w:val="00323BB3"/>
    <w:rsid w:val="003375AF"/>
    <w:rsid w:val="0034418C"/>
    <w:rsid w:val="00362872"/>
    <w:rsid w:val="00377E23"/>
    <w:rsid w:val="0038798C"/>
    <w:rsid w:val="0039188F"/>
    <w:rsid w:val="003C610A"/>
    <w:rsid w:val="004341A2"/>
    <w:rsid w:val="0044271E"/>
    <w:rsid w:val="004474A1"/>
    <w:rsid w:val="004745A4"/>
    <w:rsid w:val="004A5957"/>
    <w:rsid w:val="004B0EAD"/>
    <w:rsid w:val="004B5744"/>
    <w:rsid w:val="004C7BB0"/>
    <w:rsid w:val="004C7DE3"/>
    <w:rsid w:val="005025E5"/>
    <w:rsid w:val="005049B9"/>
    <w:rsid w:val="0051554E"/>
    <w:rsid w:val="00515954"/>
    <w:rsid w:val="00520079"/>
    <w:rsid w:val="005448C4"/>
    <w:rsid w:val="00550187"/>
    <w:rsid w:val="00556228"/>
    <w:rsid w:val="005C17DD"/>
    <w:rsid w:val="00616FD0"/>
    <w:rsid w:val="00623273"/>
    <w:rsid w:val="00625296"/>
    <w:rsid w:val="00650AFD"/>
    <w:rsid w:val="006653C8"/>
    <w:rsid w:val="00676A79"/>
    <w:rsid w:val="00680734"/>
    <w:rsid w:val="006A6F9E"/>
    <w:rsid w:val="006C36E3"/>
    <w:rsid w:val="006D3FA4"/>
    <w:rsid w:val="006F5E9D"/>
    <w:rsid w:val="00702BDC"/>
    <w:rsid w:val="00732387"/>
    <w:rsid w:val="007623F2"/>
    <w:rsid w:val="007635A3"/>
    <w:rsid w:val="007770EE"/>
    <w:rsid w:val="007B14BD"/>
    <w:rsid w:val="007B5981"/>
    <w:rsid w:val="007D38D1"/>
    <w:rsid w:val="00822059"/>
    <w:rsid w:val="00842FB3"/>
    <w:rsid w:val="008552A0"/>
    <w:rsid w:val="0088355D"/>
    <w:rsid w:val="008A3210"/>
    <w:rsid w:val="008C30E1"/>
    <w:rsid w:val="008C4ABD"/>
    <w:rsid w:val="008D4885"/>
    <w:rsid w:val="009037AE"/>
    <w:rsid w:val="00921D68"/>
    <w:rsid w:val="00934CE8"/>
    <w:rsid w:val="009473B3"/>
    <w:rsid w:val="00982CB4"/>
    <w:rsid w:val="00985026"/>
    <w:rsid w:val="00987C77"/>
    <w:rsid w:val="009912C4"/>
    <w:rsid w:val="009A5C8F"/>
    <w:rsid w:val="009B6775"/>
    <w:rsid w:val="009D0E36"/>
    <w:rsid w:val="009D6E70"/>
    <w:rsid w:val="009E3BC4"/>
    <w:rsid w:val="00A153C5"/>
    <w:rsid w:val="00A560F6"/>
    <w:rsid w:val="00A66E19"/>
    <w:rsid w:val="00A74393"/>
    <w:rsid w:val="00A8732E"/>
    <w:rsid w:val="00A905CF"/>
    <w:rsid w:val="00A9655F"/>
    <w:rsid w:val="00AE2F4E"/>
    <w:rsid w:val="00AF6AAA"/>
    <w:rsid w:val="00B1091B"/>
    <w:rsid w:val="00B10EC1"/>
    <w:rsid w:val="00B14F79"/>
    <w:rsid w:val="00B223CC"/>
    <w:rsid w:val="00B37DED"/>
    <w:rsid w:val="00B44A0E"/>
    <w:rsid w:val="00B548DE"/>
    <w:rsid w:val="00B76BCC"/>
    <w:rsid w:val="00B76F10"/>
    <w:rsid w:val="00BC1855"/>
    <w:rsid w:val="00BE5126"/>
    <w:rsid w:val="00C3098F"/>
    <w:rsid w:val="00C80E85"/>
    <w:rsid w:val="00CA0494"/>
    <w:rsid w:val="00CA20BB"/>
    <w:rsid w:val="00CD77AB"/>
    <w:rsid w:val="00CE13A0"/>
    <w:rsid w:val="00D22FA3"/>
    <w:rsid w:val="00D37063"/>
    <w:rsid w:val="00D41C0F"/>
    <w:rsid w:val="00D43795"/>
    <w:rsid w:val="00D45E94"/>
    <w:rsid w:val="00D56C07"/>
    <w:rsid w:val="00D65C8F"/>
    <w:rsid w:val="00D910BA"/>
    <w:rsid w:val="00D93529"/>
    <w:rsid w:val="00DC5B60"/>
    <w:rsid w:val="00DE44F7"/>
    <w:rsid w:val="00DF0131"/>
    <w:rsid w:val="00DF7A66"/>
    <w:rsid w:val="00E01213"/>
    <w:rsid w:val="00E179C1"/>
    <w:rsid w:val="00E23C6F"/>
    <w:rsid w:val="00E40C39"/>
    <w:rsid w:val="00E94397"/>
    <w:rsid w:val="00EC3E85"/>
    <w:rsid w:val="00ED6321"/>
    <w:rsid w:val="00F02CD0"/>
    <w:rsid w:val="00F32F27"/>
    <w:rsid w:val="00F6436E"/>
    <w:rsid w:val="00FB7328"/>
    <w:rsid w:val="27F488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DDE50"/>
  <w15:chartTrackingRefBased/>
  <w15:docId w15:val="{2D44EA7B-34A7-4060-B805-8D0E0E99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063"/>
    <w:pPr>
      <w:keepNext/>
      <w:keepLines/>
      <w:shd w:val="clear" w:color="auto" w:fill="DAE9F7" w:themeFill="text2" w:themeFillTint="1A"/>
      <w:spacing w:before="360" w:after="80"/>
      <w:ind w:left="-1080" w:right="-1080" w:firstLine="1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2059"/>
    <w:pPr>
      <w:keepNext/>
      <w:keepLines/>
      <w:spacing w:before="160" w:after="80"/>
      <w:ind w:left="-45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63"/>
    <w:rPr>
      <w:rFonts w:asciiTheme="majorHAnsi" w:eastAsiaTheme="majorEastAsia" w:hAnsiTheme="majorHAnsi" w:cstheme="majorBidi"/>
      <w:color w:val="0F4761" w:themeColor="accent1" w:themeShade="BF"/>
      <w:sz w:val="40"/>
      <w:szCs w:val="40"/>
      <w:shd w:val="clear" w:color="auto" w:fill="DAE9F7" w:themeFill="text2" w:themeFillTint="1A"/>
    </w:rPr>
  </w:style>
  <w:style w:type="character" w:customStyle="1" w:styleId="Heading2Char">
    <w:name w:val="Heading 2 Char"/>
    <w:basedOn w:val="DefaultParagraphFont"/>
    <w:link w:val="Heading2"/>
    <w:uiPriority w:val="9"/>
    <w:rsid w:val="00822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AFD"/>
    <w:rPr>
      <w:rFonts w:eastAsiaTheme="majorEastAsia" w:cstheme="majorBidi"/>
      <w:color w:val="272727" w:themeColor="text1" w:themeTint="D8"/>
    </w:rPr>
  </w:style>
  <w:style w:type="paragraph" w:styleId="Title">
    <w:name w:val="Title"/>
    <w:basedOn w:val="Normal"/>
    <w:next w:val="Normal"/>
    <w:link w:val="TitleChar"/>
    <w:uiPriority w:val="10"/>
    <w:qFormat/>
    <w:rsid w:val="00650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AFD"/>
    <w:pPr>
      <w:spacing w:before="160"/>
      <w:jc w:val="center"/>
    </w:pPr>
    <w:rPr>
      <w:i/>
      <w:iCs/>
      <w:color w:val="404040" w:themeColor="text1" w:themeTint="BF"/>
    </w:rPr>
  </w:style>
  <w:style w:type="character" w:customStyle="1" w:styleId="QuoteChar">
    <w:name w:val="Quote Char"/>
    <w:basedOn w:val="DefaultParagraphFont"/>
    <w:link w:val="Quote"/>
    <w:uiPriority w:val="29"/>
    <w:rsid w:val="00650AFD"/>
    <w:rPr>
      <w:i/>
      <w:iCs/>
      <w:color w:val="404040" w:themeColor="text1" w:themeTint="BF"/>
    </w:rPr>
  </w:style>
  <w:style w:type="paragraph" w:styleId="ListParagraph">
    <w:name w:val="List Paragraph"/>
    <w:basedOn w:val="Normal"/>
    <w:uiPriority w:val="34"/>
    <w:qFormat/>
    <w:rsid w:val="00650AFD"/>
    <w:pPr>
      <w:ind w:left="720"/>
      <w:contextualSpacing/>
    </w:pPr>
  </w:style>
  <w:style w:type="character" w:styleId="IntenseEmphasis">
    <w:name w:val="Intense Emphasis"/>
    <w:basedOn w:val="DefaultParagraphFont"/>
    <w:uiPriority w:val="21"/>
    <w:qFormat/>
    <w:rsid w:val="00650AFD"/>
    <w:rPr>
      <w:i/>
      <w:iCs/>
      <w:color w:val="0F4761" w:themeColor="accent1" w:themeShade="BF"/>
    </w:rPr>
  </w:style>
  <w:style w:type="paragraph" w:styleId="IntenseQuote">
    <w:name w:val="Intense Quote"/>
    <w:basedOn w:val="Normal"/>
    <w:next w:val="Normal"/>
    <w:link w:val="IntenseQuoteChar"/>
    <w:uiPriority w:val="30"/>
    <w:qFormat/>
    <w:rsid w:val="00650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AFD"/>
    <w:rPr>
      <w:i/>
      <w:iCs/>
      <w:color w:val="0F4761" w:themeColor="accent1" w:themeShade="BF"/>
    </w:rPr>
  </w:style>
  <w:style w:type="character" w:styleId="IntenseReference">
    <w:name w:val="Intense Reference"/>
    <w:basedOn w:val="DefaultParagraphFont"/>
    <w:uiPriority w:val="32"/>
    <w:qFormat/>
    <w:rsid w:val="00650AFD"/>
    <w:rPr>
      <w:b/>
      <w:bCs/>
      <w:smallCaps/>
      <w:color w:val="0F4761" w:themeColor="accent1" w:themeShade="BF"/>
      <w:spacing w:val="5"/>
    </w:rPr>
  </w:style>
  <w:style w:type="paragraph" w:styleId="Header">
    <w:name w:val="header"/>
    <w:basedOn w:val="Normal"/>
    <w:link w:val="HeaderChar"/>
    <w:uiPriority w:val="99"/>
    <w:unhideWhenUsed/>
    <w:rsid w:val="00650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AFD"/>
  </w:style>
  <w:style w:type="paragraph" w:styleId="Footer">
    <w:name w:val="footer"/>
    <w:basedOn w:val="Normal"/>
    <w:link w:val="FooterChar"/>
    <w:uiPriority w:val="99"/>
    <w:unhideWhenUsed/>
    <w:rsid w:val="00650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AFD"/>
  </w:style>
  <w:style w:type="character" w:styleId="Hyperlink">
    <w:name w:val="Hyperlink"/>
    <w:basedOn w:val="DefaultParagraphFont"/>
    <w:uiPriority w:val="99"/>
    <w:unhideWhenUsed/>
    <w:rsid w:val="008552A0"/>
    <w:rPr>
      <w:color w:val="467886" w:themeColor="hyperlink"/>
      <w:u w:val="single"/>
    </w:rPr>
  </w:style>
  <w:style w:type="character" w:styleId="UnresolvedMention">
    <w:name w:val="Unresolved Mention"/>
    <w:basedOn w:val="DefaultParagraphFont"/>
    <w:uiPriority w:val="99"/>
    <w:semiHidden/>
    <w:unhideWhenUsed/>
    <w:rsid w:val="008552A0"/>
    <w:rPr>
      <w:color w:val="605E5C"/>
      <w:shd w:val="clear" w:color="auto" w:fill="E1DFDD"/>
    </w:rPr>
  </w:style>
  <w:style w:type="table" w:styleId="TableGrid">
    <w:name w:val="Table Grid"/>
    <w:basedOn w:val="TableNormal"/>
    <w:uiPriority w:val="39"/>
    <w:rsid w:val="00BC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1C0F"/>
    <w:rPr>
      <w:b/>
      <w:bCs/>
    </w:rPr>
  </w:style>
  <w:style w:type="character" w:styleId="FollowedHyperlink">
    <w:name w:val="FollowedHyperlink"/>
    <w:basedOn w:val="DefaultParagraphFont"/>
    <w:uiPriority w:val="99"/>
    <w:semiHidden/>
    <w:unhideWhenUsed/>
    <w:rsid w:val="00D910BA"/>
    <w:rPr>
      <w:color w:val="96607D" w:themeColor="followedHyperlink"/>
      <w:u w:val="single"/>
    </w:rPr>
  </w:style>
  <w:style w:type="character" w:styleId="CommentReference">
    <w:name w:val="annotation reference"/>
    <w:basedOn w:val="DefaultParagraphFont"/>
    <w:uiPriority w:val="99"/>
    <w:semiHidden/>
    <w:unhideWhenUsed/>
    <w:rsid w:val="00A74393"/>
    <w:rPr>
      <w:sz w:val="16"/>
      <w:szCs w:val="16"/>
    </w:rPr>
  </w:style>
  <w:style w:type="paragraph" w:styleId="CommentText">
    <w:name w:val="annotation text"/>
    <w:basedOn w:val="Normal"/>
    <w:link w:val="CommentTextChar"/>
    <w:uiPriority w:val="99"/>
    <w:unhideWhenUsed/>
    <w:rsid w:val="00A74393"/>
    <w:pPr>
      <w:spacing w:line="240" w:lineRule="auto"/>
    </w:pPr>
    <w:rPr>
      <w:sz w:val="20"/>
      <w:szCs w:val="20"/>
    </w:rPr>
  </w:style>
  <w:style w:type="character" w:customStyle="1" w:styleId="CommentTextChar">
    <w:name w:val="Comment Text Char"/>
    <w:basedOn w:val="DefaultParagraphFont"/>
    <w:link w:val="CommentText"/>
    <w:uiPriority w:val="99"/>
    <w:rsid w:val="00A74393"/>
    <w:rPr>
      <w:sz w:val="20"/>
      <w:szCs w:val="20"/>
    </w:rPr>
  </w:style>
  <w:style w:type="paragraph" w:styleId="CommentSubject">
    <w:name w:val="annotation subject"/>
    <w:basedOn w:val="CommentText"/>
    <w:next w:val="CommentText"/>
    <w:link w:val="CommentSubjectChar"/>
    <w:uiPriority w:val="99"/>
    <w:semiHidden/>
    <w:unhideWhenUsed/>
    <w:rsid w:val="00A74393"/>
    <w:rPr>
      <w:b/>
      <w:bCs/>
    </w:rPr>
  </w:style>
  <w:style w:type="character" w:customStyle="1" w:styleId="CommentSubjectChar">
    <w:name w:val="Comment Subject Char"/>
    <w:basedOn w:val="CommentTextChar"/>
    <w:link w:val="CommentSubject"/>
    <w:uiPriority w:val="99"/>
    <w:semiHidden/>
    <w:rsid w:val="00A74393"/>
    <w:rPr>
      <w:b/>
      <w:bCs/>
      <w:sz w:val="20"/>
      <w:szCs w:val="20"/>
    </w:rPr>
  </w:style>
  <w:style w:type="paragraph" w:styleId="Revision">
    <w:name w:val="Revision"/>
    <w:hidden/>
    <w:uiPriority w:val="99"/>
    <w:semiHidden/>
    <w:rsid w:val="000557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202717">
      <w:bodyDiv w:val="1"/>
      <w:marLeft w:val="0"/>
      <w:marRight w:val="0"/>
      <w:marTop w:val="0"/>
      <w:marBottom w:val="0"/>
      <w:divBdr>
        <w:top w:val="none" w:sz="0" w:space="0" w:color="auto"/>
        <w:left w:val="none" w:sz="0" w:space="0" w:color="auto"/>
        <w:bottom w:val="none" w:sz="0" w:space="0" w:color="auto"/>
        <w:right w:val="none" w:sz="0" w:space="0" w:color="auto"/>
      </w:divBdr>
    </w:div>
    <w:div w:id="12616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461@ecy.wa.gov" TargetMode="External"/><Relationship Id="rId13" Type="http://schemas.openxmlformats.org/officeDocument/2006/relationships/hyperlink" Target="https://www.ezview.wa.gov/DesktopDefault.aspx?alias=1962&amp;PageID=39940" TargetMode="External"/><Relationship Id="rId3" Type="http://schemas.openxmlformats.org/officeDocument/2006/relationships/settings" Target="settings.xml"/><Relationship Id="rId7" Type="http://schemas.openxmlformats.org/officeDocument/2006/relationships/hyperlink" Target="https://app.leg.wa.gov/billsummary?BillNumber=2301&amp;Initiative=false&amp;Year=2023" TargetMode="External"/><Relationship Id="rId12" Type="http://schemas.openxmlformats.org/officeDocument/2006/relationships/hyperlink" Target="mailto:FoodCenter@ecy.w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zview.wa.gov/DesktopDefault.aspx?alias=1962&amp;PageID=399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zview.wa.gov/Portals/_1962/Documents/food-donation/FDWG_Rec_Worksheet.docx" TargetMode="External"/><Relationship Id="rId4" Type="http://schemas.openxmlformats.org/officeDocument/2006/relationships/webSettings" Target="webSettings.xml"/><Relationship Id="rId9" Type="http://schemas.openxmlformats.org/officeDocument/2006/relationships/hyperlink" Target="mailto:slig461@ecy.wa.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Merscher, Patrick (ECY)</dc:creator>
  <cp:keywords/>
  <dc:description/>
  <cp:lastModifiedBy>Ligrano, Selena (ECY)</cp:lastModifiedBy>
  <cp:revision>17</cp:revision>
  <dcterms:created xsi:type="dcterms:W3CDTF">2024-08-28T21:58:00Z</dcterms:created>
  <dcterms:modified xsi:type="dcterms:W3CDTF">2024-09-06T00:14:00Z</dcterms:modified>
</cp:coreProperties>
</file>