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58A6D" w14:textId="20AA50B1" w:rsidR="006B7696" w:rsidRPr="00D46281" w:rsidRDefault="00821630" w:rsidP="00821630">
      <w:pPr>
        <w:tabs>
          <w:tab w:val="left" w:pos="1530"/>
          <w:tab w:val="center" w:pos="4680"/>
        </w:tabs>
        <w:rPr>
          <w:b/>
          <w:sz w:val="26"/>
          <w:szCs w:val="26"/>
        </w:rPr>
      </w:pPr>
      <w:bookmarkStart w:id="0" w:name="_GoBack"/>
      <w:bookmarkEnd w:id="0"/>
      <w:r>
        <w:rPr>
          <w:b/>
          <w:sz w:val="26"/>
          <w:szCs w:val="26"/>
        </w:rPr>
        <w:tab/>
      </w:r>
      <w:r>
        <w:rPr>
          <w:b/>
          <w:sz w:val="26"/>
          <w:szCs w:val="26"/>
        </w:rPr>
        <w:tab/>
      </w:r>
      <w:r w:rsidR="000A5282" w:rsidRPr="00D46281">
        <w:rPr>
          <w:b/>
          <w:sz w:val="26"/>
          <w:szCs w:val="26"/>
        </w:rPr>
        <w:t xml:space="preserve">Draft Findings and </w:t>
      </w:r>
      <w:r w:rsidR="00B4777F" w:rsidRPr="00D46281">
        <w:rPr>
          <w:b/>
          <w:sz w:val="26"/>
          <w:szCs w:val="26"/>
        </w:rPr>
        <w:t>Potential Policy Tools</w:t>
      </w:r>
      <w:r w:rsidR="00A827EF" w:rsidRPr="00D46281">
        <w:rPr>
          <w:b/>
          <w:sz w:val="26"/>
          <w:szCs w:val="26"/>
        </w:rPr>
        <w:t xml:space="preserve"> – for Meeting 5</w:t>
      </w:r>
    </w:p>
    <w:p w14:paraId="455C5A6E" w14:textId="77777777" w:rsidR="000A5282" w:rsidRDefault="000A5282" w:rsidP="000A5282">
      <w:pPr>
        <w:jc w:val="center"/>
      </w:pPr>
      <w:r>
        <w:t>Advisory Group on Water Trust, Banking, and Transfers</w:t>
      </w:r>
    </w:p>
    <w:p w14:paraId="0305F7D8" w14:textId="77777777" w:rsidR="000A5282" w:rsidRDefault="000A5282" w:rsidP="000A5282">
      <w:pPr>
        <w:jc w:val="center"/>
      </w:pPr>
      <w:r>
        <w:t>DRAFT</w:t>
      </w:r>
      <w:r w:rsidR="00127212">
        <w:t>; June 2</w:t>
      </w:r>
      <w:r w:rsidR="00B4777F">
        <w:t>2</w:t>
      </w:r>
      <w:r w:rsidR="0042500A">
        <w:t xml:space="preserve"> 2020</w:t>
      </w:r>
    </w:p>
    <w:p w14:paraId="3BAFEB1F" w14:textId="77777777" w:rsidR="000A5282" w:rsidRPr="000A5282" w:rsidRDefault="00B56008" w:rsidP="00B56008">
      <w:pPr>
        <w:pStyle w:val="Heading2"/>
        <w:pBdr>
          <w:bottom w:val="single" w:sz="4" w:space="1" w:color="auto"/>
        </w:pBdr>
      </w:pPr>
      <w:r>
        <w:t xml:space="preserve">Topic 1: </w:t>
      </w:r>
      <w:r w:rsidR="000A5282" w:rsidRPr="000A5282">
        <w:t>Out-of-basin transfers</w:t>
      </w:r>
    </w:p>
    <w:p w14:paraId="1D236EC4" w14:textId="77777777" w:rsidR="000A5282" w:rsidRDefault="000A5282" w:rsidP="00B56008">
      <w:pPr>
        <w:pStyle w:val="Heading3"/>
      </w:pPr>
      <w:r w:rsidRPr="000A5282">
        <w:t>Findings</w:t>
      </w:r>
    </w:p>
    <w:p w14:paraId="735D0B26" w14:textId="77777777" w:rsidR="000A5282" w:rsidRDefault="000A5282" w:rsidP="00B30919">
      <w:pPr>
        <w:pStyle w:val="ListParagraph"/>
        <w:numPr>
          <w:ilvl w:val="0"/>
          <w:numId w:val="16"/>
        </w:numPr>
        <w:spacing w:before="240" w:after="120"/>
        <w:ind w:left="1080" w:hanging="720"/>
        <w:contextualSpacing w:val="0"/>
      </w:pPr>
      <w:r>
        <w:t>Out-of-basin transfers are a valuable tool for providing water to new uses an</w:t>
      </w:r>
      <w:r w:rsidR="009B0659">
        <w:t>d boosting instream flows. Often, t</w:t>
      </w:r>
      <w:r>
        <w:t>hey provide much needed flexibility for water management.</w:t>
      </w:r>
    </w:p>
    <w:p w14:paraId="5381A89D" w14:textId="77777777" w:rsidR="000A5282" w:rsidRDefault="000A5282" w:rsidP="00B30919">
      <w:pPr>
        <w:pStyle w:val="ListParagraph"/>
        <w:numPr>
          <w:ilvl w:val="0"/>
          <w:numId w:val="16"/>
        </w:numPr>
        <w:spacing w:before="240" w:after="120"/>
        <w:ind w:left="1080" w:hanging="720"/>
        <w:contextualSpacing w:val="0"/>
      </w:pPr>
      <w:r>
        <w:t>The needs of each basin are unique – it will be difficult (and likely unwise) to</w:t>
      </w:r>
      <w:r w:rsidR="00C46F9D">
        <w:t xml:space="preserve"> </w:t>
      </w:r>
      <w:r w:rsidR="000B5ED8">
        <w:t xml:space="preserve">seek </w:t>
      </w:r>
      <w:r>
        <w:t xml:space="preserve">one solution </w:t>
      </w:r>
      <w:r w:rsidR="00C46F9D">
        <w:t>that</w:t>
      </w:r>
      <w:r>
        <w:t xml:space="preserve"> fit</w:t>
      </w:r>
      <w:r w:rsidR="00C46F9D">
        <w:t>s</w:t>
      </w:r>
      <w:r>
        <w:t xml:space="preserve"> all basins. For example, </w:t>
      </w:r>
      <w:r w:rsidR="00435371">
        <w:t xml:space="preserve">some basins could see </w:t>
      </w:r>
      <w:r w:rsidR="00C46F9D">
        <w:t xml:space="preserve">greater </w:t>
      </w:r>
      <w:r w:rsidR="00435371">
        <w:t xml:space="preserve">ecological or </w:t>
      </w:r>
      <w:r w:rsidR="00C46F9D">
        <w:t>economic impact</w:t>
      </w:r>
      <w:r w:rsidR="00435371">
        <w:t>s</w:t>
      </w:r>
      <w:r w:rsidR="00C46F9D">
        <w:t xml:space="preserve"> of water moving downstream than other basins.</w:t>
      </w:r>
      <w:r>
        <w:t xml:space="preserve"> </w:t>
      </w:r>
      <w:r w:rsidR="00435371">
        <w:t>Management considerations are also basin specific, like</w:t>
      </w:r>
      <w:r>
        <w:t xml:space="preserve"> whether instream flows</w:t>
      </w:r>
      <w:r w:rsidR="00F31E9E">
        <w:t xml:space="preserve"> are met in the basin-of-origin</w:t>
      </w:r>
      <w:r>
        <w:t xml:space="preserve"> </w:t>
      </w:r>
      <w:r w:rsidR="00435371">
        <w:t>or</w:t>
      </w:r>
      <w:r>
        <w:t xml:space="preserve"> whether the basin</w:t>
      </w:r>
      <w:r w:rsidR="00F31E9E">
        <w:t>-of-origin</w:t>
      </w:r>
      <w:r>
        <w:t xml:space="preserve"> is closed.</w:t>
      </w:r>
      <w:r w:rsidR="00CC5AA1">
        <w:t xml:space="preserve"> </w:t>
      </w:r>
    </w:p>
    <w:p w14:paraId="302E79F6" w14:textId="77777777" w:rsidR="00C423B8" w:rsidRDefault="00DA121D" w:rsidP="00B30919">
      <w:pPr>
        <w:pStyle w:val="ListParagraph"/>
        <w:numPr>
          <w:ilvl w:val="0"/>
          <w:numId w:val="16"/>
        </w:numPr>
        <w:spacing w:before="240" w:after="120"/>
        <w:ind w:left="1080" w:hanging="720"/>
        <w:contextualSpacing w:val="0"/>
      </w:pPr>
      <w:r>
        <w:t>When water rights cannot be transferred back upstream, o</w:t>
      </w:r>
      <w:r w:rsidR="00C423B8">
        <w:t>ut-of-basin transfers c</w:t>
      </w:r>
      <w:r w:rsidR="000A5282">
        <w:t xml:space="preserve">an result in loss of jobs and revenue to the </w:t>
      </w:r>
      <w:r>
        <w:t>county of origin</w:t>
      </w:r>
      <w:r w:rsidR="000A5282">
        <w:t xml:space="preserve">, which can have larger economic consequences on the state. </w:t>
      </w:r>
      <w:r w:rsidR="00C423B8">
        <w:t>Some participants expressed that limiting these transfers could prevent the</w:t>
      </w:r>
      <w:r w:rsidR="00435371">
        <w:t>se</w:t>
      </w:r>
      <w:r w:rsidR="00C423B8">
        <w:t xml:space="preserve"> economic losses.</w:t>
      </w:r>
      <w:r w:rsidR="00B56008">
        <w:t xml:space="preserve"> </w:t>
      </w:r>
      <w:r w:rsidR="00C423B8">
        <w:t>Others argued that most out-of-basin transfers</w:t>
      </w:r>
      <w:r w:rsidR="00157FBF">
        <w:t xml:space="preserve"> are driven </w:t>
      </w:r>
      <w:r w:rsidR="00435371">
        <w:t xml:space="preserve">by </w:t>
      </w:r>
      <w:r w:rsidR="00157FBF">
        <w:t xml:space="preserve">greater macro-economic trends, such as loss of the family farm. </w:t>
      </w:r>
      <w:r w:rsidR="009B0659">
        <w:t>They expressed that r</w:t>
      </w:r>
      <w:r w:rsidR="00157FBF">
        <w:t>estricting the sale of water is not going to save local farm</w:t>
      </w:r>
      <w:r w:rsidR="00435371">
        <w:t>s</w:t>
      </w:r>
      <w:r w:rsidR="00157FBF">
        <w:t xml:space="preserve">. </w:t>
      </w:r>
    </w:p>
    <w:p w14:paraId="02098D91" w14:textId="77777777" w:rsidR="000A5282" w:rsidRDefault="003E0CE4" w:rsidP="00B56008">
      <w:pPr>
        <w:pStyle w:val="Heading3"/>
      </w:pPr>
      <w:r>
        <w:t xml:space="preserve">Potential </w:t>
      </w:r>
      <w:r w:rsidR="000A5282">
        <w:t>Policy Tools</w:t>
      </w:r>
      <w:r w:rsidR="00F63D79">
        <w:t xml:space="preserve"> </w:t>
      </w:r>
    </w:p>
    <w:p w14:paraId="438893D2" w14:textId="5BA58183" w:rsidR="00DA121D" w:rsidRPr="00D46281" w:rsidRDefault="00435371" w:rsidP="00B30919">
      <w:pPr>
        <w:pStyle w:val="ListParagraph"/>
        <w:numPr>
          <w:ilvl w:val="0"/>
          <w:numId w:val="11"/>
        </w:numPr>
        <w:spacing w:before="240" w:after="120"/>
        <w:ind w:left="1080" w:hanging="720"/>
        <w:contextualSpacing w:val="0"/>
      </w:pPr>
      <w:r>
        <w:t>Provide</w:t>
      </w:r>
      <w:r w:rsidR="00DA121D">
        <w:t xml:space="preserve"> state and local </w:t>
      </w:r>
      <w:r w:rsidR="00DA121D" w:rsidRPr="00D46281">
        <w:t>government</w:t>
      </w:r>
      <w:r w:rsidRPr="00D46281">
        <w:t>s</w:t>
      </w:r>
      <w:r w:rsidR="00DA121D" w:rsidRPr="00D46281">
        <w:t xml:space="preserve"> </w:t>
      </w:r>
      <w:r w:rsidR="003C660A">
        <w:t xml:space="preserve">the </w:t>
      </w:r>
      <w:r w:rsidR="00DA121D" w:rsidRPr="00D46281">
        <w:t>“right of first refusal” before a water right may be sold for transfer out of the basin</w:t>
      </w:r>
      <w:r w:rsidR="003C660A">
        <w:t xml:space="preserve"> of </w:t>
      </w:r>
      <w:r w:rsidR="00DA121D" w:rsidRPr="00D46281">
        <w:t>origin.</w:t>
      </w:r>
      <w:r w:rsidR="0089207E" w:rsidRPr="00D46281">
        <w:t xml:space="preserve"> Governments would have a set duration of time to act on the sale.</w:t>
      </w:r>
    </w:p>
    <w:tbl>
      <w:tblPr>
        <w:tblStyle w:val="TableGrid"/>
        <w:tblW w:w="0" w:type="auto"/>
        <w:tblInd w:w="1075" w:type="dxa"/>
        <w:tblLook w:val="04A0" w:firstRow="1" w:lastRow="0" w:firstColumn="1" w:lastColumn="0" w:noHBand="0" w:noVBand="1"/>
      </w:tblPr>
      <w:tblGrid>
        <w:gridCol w:w="4095"/>
        <w:gridCol w:w="4095"/>
      </w:tblGrid>
      <w:tr w:rsidR="00DA121D" w:rsidRPr="00D46281" w14:paraId="15A9F4B6" w14:textId="77777777" w:rsidTr="008706EF">
        <w:tc>
          <w:tcPr>
            <w:tcW w:w="8190" w:type="dxa"/>
            <w:gridSpan w:val="2"/>
          </w:tcPr>
          <w:p w14:paraId="699BB635" w14:textId="77777777" w:rsidR="00DA121D" w:rsidRPr="00D46281" w:rsidRDefault="00DA121D" w:rsidP="00B30919">
            <w:pPr>
              <w:pStyle w:val="Table"/>
              <w:rPr>
                <w:b/>
              </w:rPr>
            </w:pPr>
            <w:r w:rsidRPr="00D46281">
              <w:rPr>
                <w:b/>
              </w:rPr>
              <w:t xml:space="preserve">Objective: </w:t>
            </w:r>
            <w:r w:rsidRPr="00D46281">
              <w:t>Increase the opportunity for water rights to stay in the basin of origin</w:t>
            </w:r>
          </w:p>
        </w:tc>
      </w:tr>
      <w:tr w:rsidR="00DA121D" w:rsidRPr="00D46281" w14:paraId="3E961880" w14:textId="77777777" w:rsidTr="008706EF">
        <w:tc>
          <w:tcPr>
            <w:tcW w:w="4095" w:type="dxa"/>
          </w:tcPr>
          <w:p w14:paraId="341D9B59" w14:textId="77777777" w:rsidR="00DA121D" w:rsidRPr="00D46281" w:rsidRDefault="00DA121D" w:rsidP="00B30919">
            <w:pPr>
              <w:pStyle w:val="Table"/>
              <w:jc w:val="center"/>
              <w:rPr>
                <w:b/>
              </w:rPr>
            </w:pPr>
            <w:r w:rsidRPr="00D46281">
              <w:rPr>
                <w:b/>
              </w:rPr>
              <w:t>Pro’s</w:t>
            </w:r>
          </w:p>
        </w:tc>
        <w:tc>
          <w:tcPr>
            <w:tcW w:w="4095" w:type="dxa"/>
          </w:tcPr>
          <w:p w14:paraId="6EDD65C5" w14:textId="77777777" w:rsidR="00DA121D" w:rsidRPr="00D46281" w:rsidRDefault="00DA121D" w:rsidP="00B30919">
            <w:pPr>
              <w:pStyle w:val="Table"/>
              <w:jc w:val="center"/>
              <w:rPr>
                <w:b/>
              </w:rPr>
            </w:pPr>
            <w:r w:rsidRPr="00D46281">
              <w:rPr>
                <w:b/>
              </w:rPr>
              <w:t>Con’s</w:t>
            </w:r>
          </w:p>
        </w:tc>
      </w:tr>
      <w:tr w:rsidR="00DA121D" w:rsidRPr="00D46281" w14:paraId="041D0D6D" w14:textId="77777777" w:rsidTr="008706EF">
        <w:tc>
          <w:tcPr>
            <w:tcW w:w="4095" w:type="dxa"/>
          </w:tcPr>
          <w:p w14:paraId="1F36A990" w14:textId="77777777" w:rsidR="00DA121D" w:rsidRPr="00D46281" w:rsidRDefault="00DA121D" w:rsidP="00B30919">
            <w:pPr>
              <w:pStyle w:val="Table"/>
            </w:pPr>
            <w:r w:rsidRPr="00D46281">
              <w:t>Provides a mechanism to keep water rights in the basin of origin</w:t>
            </w:r>
          </w:p>
        </w:tc>
        <w:tc>
          <w:tcPr>
            <w:tcW w:w="4095" w:type="dxa"/>
          </w:tcPr>
          <w:p w14:paraId="0F13C298" w14:textId="77777777" w:rsidR="00DA121D" w:rsidRPr="00D46281" w:rsidRDefault="00DA121D" w:rsidP="00B30919">
            <w:pPr>
              <w:pStyle w:val="Table"/>
            </w:pPr>
            <w:r w:rsidRPr="00D46281">
              <w:t xml:space="preserve">Disclosure of the </w:t>
            </w:r>
            <w:r w:rsidR="00435371" w:rsidRPr="00D46281">
              <w:t xml:space="preserve">sale </w:t>
            </w:r>
            <w:r w:rsidRPr="00D46281">
              <w:t>before the sale is final could complicate or derail the transaction</w:t>
            </w:r>
          </w:p>
        </w:tc>
      </w:tr>
      <w:tr w:rsidR="00DA121D" w:rsidRPr="00D46281" w14:paraId="50FE75FD" w14:textId="77777777" w:rsidTr="008706EF">
        <w:tc>
          <w:tcPr>
            <w:tcW w:w="4095" w:type="dxa"/>
          </w:tcPr>
          <w:p w14:paraId="6998B7A8" w14:textId="77777777" w:rsidR="00DA121D" w:rsidRPr="00D46281" w:rsidRDefault="00DA121D" w:rsidP="00B30919">
            <w:pPr>
              <w:pStyle w:val="Table"/>
            </w:pPr>
            <w:r w:rsidRPr="00D46281">
              <w:t>Increases local control</w:t>
            </w:r>
          </w:p>
        </w:tc>
        <w:tc>
          <w:tcPr>
            <w:tcW w:w="4095" w:type="dxa"/>
          </w:tcPr>
          <w:p w14:paraId="22CA968D" w14:textId="77777777" w:rsidR="00DA121D" w:rsidRPr="00D46281" w:rsidRDefault="002C3721" w:rsidP="00B30919">
            <w:pPr>
              <w:pStyle w:val="Table"/>
            </w:pPr>
            <w:r w:rsidRPr="00D46281">
              <w:t>L</w:t>
            </w:r>
            <w:r w:rsidR="00DA121D" w:rsidRPr="00D46281">
              <w:t>engthen</w:t>
            </w:r>
            <w:r w:rsidRPr="00D46281">
              <w:t>s</w:t>
            </w:r>
            <w:r w:rsidR="00DA121D" w:rsidRPr="00D46281">
              <w:t xml:space="preserve"> the processing time for out-of-basin transfers</w:t>
            </w:r>
          </w:p>
        </w:tc>
      </w:tr>
      <w:tr w:rsidR="00DA121D" w14:paraId="3AB1409A" w14:textId="77777777" w:rsidTr="008706EF">
        <w:tc>
          <w:tcPr>
            <w:tcW w:w="4095" w:type="dxa"/>
          </w:tcPr>
          <w:p w14:paraId="4D0151C9" w14:textId="77777777" w:rsidR="00DA121D" w:rsidRPr="00D46281" w:rsidRDefault="000B5ED8" w:rsidP="00B30919">
            <w:pPr>
              <w:pStyle w:val="Table"/>
            </w:pPr>
            <w:r w:rsidRPr="00D46281">
              <w:t xml:space="preserve">Could maintain </w:t>
            </w:r>
            <w:r w:rsidR="00DA121D" w:rsidRPr="00D46281">
              <w:t>economic benefits in the local community without affecting property rights</w:t>
            </w:r>
          </w:p>
        </w:tc>
        <w:tc>
          <w:tcPr>
            <w:tcW w:w="4095" w:type="dxa"/>
          </w:tcPr>
          <w:p w14:paraId="46AB74EB" w14:textId="77777777" w:rsidR="00DA121D" w:rsidRDefault="006E7940" w:rsidP="00B30919">
            <w:pPr>
              <w:pStyle w:val="Table"/>
            </w:pPr>
            <w:r w:rsidRPr="00D46281">
              <w:t>R</w:t>
            </w:r>
            <w:r w:rsidR="002C3721" w:rsidRPr="00D46281">
              <w:t>equire</w:t>
            </w:r>
            <w:r w:rsidRPr="00D46281">
              <w:t>s</w:t>
            </w:r>
            <w:r w:rsidR="002C3721" w:rsidRPr="00D46281">
              <w:t xml:space="preserve"> a new</w:t>
            </w:r>
            <w:r w:rsidR="00F31E9E" w:rsidRPr="00D46281">
              <w:t xml:space="preserve"> source of funding to implement</w:t>
            </w:r>
            <w:r w:rsidR="0089207E" w:rsidRPr="00D46281">
              <w:t>. Without funding this could create process with no result</w:t>
            </w:r>
          </w:p>
        </w:tc>
      </w:tr>
    </w:tbl>
    <w:p w14:paraId="4607147A" w14:textId="77777777" w:rsidR="00F63D79" w:rsidRDefault="002275F4" w:rsidP="00B30919">
      <w:pPr>
        <w:pStyle w:val="ListParagraph"/>
        <w:numPr>
          <w:ilvl w:val="0"/>
          <w:numId w:val="11"/>
        </w:numPr>
        <w:spacing w:before="240" w:after="120"/>
        <w:ind w:left="1080" w:hanging="720"/>
        <w:contextualSpacing w:val="0"/>
      </w:pPr>
      <w:r>
        <w:t xml:space="preserve">Authorize </w:t>
      </w:r>
      <w:r w:rsidR="00F63D79">
        <w:t xml:space="preserve">Ecology </w:t>
      </w:r>
      <w:r>
        <w:t>to</w:t>
      </w:r>
      <w:r w:rsidR="00F63D79">
        <w:t xml:space="preserve"> “close” a basin</w:t>
      </w:r>
      <w:r w:rsidR="00145CA7">
        <w:t xml:space="preserve"> (or subbasin)</w:t>
      </w:r>
      <w:r w:rsidR="00F63D79">
        <w:t xml:space="preserve"> to out-of-basin transfers through rulemaking</w:t>
      </w:r>
      <w:r>
        <w:t>.</w:t>
      </w:r>
    </w:p>
    <w:tbl>
      <w:tblPr>
        <w:tblStyle w:val="TableGrid"/>
        <w:tblW w:w="0" w:type="auto"/>
        <w:tblInd w:w="1075" w:type="dxa"/>
        <w:tblLook w:val="04A0" w:firstRow="1" w:lastRow="0" w:firstColumn="1" w:lastColumn="0" w:noHBand="0" w:noVBand="1"/>
      </w:tblPr>
      <w:tblGrid>
        <w:gridCol w:w="4095"/>
        <w:gridCol w:w="4095"/>
      </w:tblGrid>
      <w:tr w:rsidR="00157FBF" w14:paraId="33E999C7" w14:textId="77777777" w:rsidTr="008706EF">
        <w:tc>
          <w:tcPr>
            <w:tcW w:w="8190" w:type="dxa"/>
            <w:gridSpan w:val="2"/>
          </w:tcPr>
          <w:p w14:paraId="18A959E0" w14:textId="77777777" w:rsidR="00157FBF" w:rsidRDefault="00157FBF" w:rsidP="00B30919">
            <w:pPr>
              <w:rPr>
                <w:b/>
              </w:rPr>
            </w:pPr>
            <w:r>
              <w:rPr>
                <w:b/>
              </w:rPr>
              <w:t xml:space="preserve">Objective: </w:t>
            </w:r>
            <w:r>
              <w:t>Prevent out-of-basin transfers from tho</w:t>
            </w:r>
            <w:r w:rsidR="00F31E9E">
              <w:t>se WRIAs that are most affected</w:t>
            </w:r>
          </w:p>
        </w:tc>
      </w:tr>
      <w:tr w:rsidR="00157FBF" w:rsidRPr="00EA79F6" w14:paraId="5D513CA7" w14:textId="77777777" w:rsidTr="008706EF">
        <w:tc>
          <w:tcPr>
            <w:tcW w:w="4095" w:type="dxa"/>
          </w:tcPr>
          <w:p w14:paraId="23BD3200" w14:textId="77777777" w:rsidR="00157FBF" w:rsidRPr="00EA79F6" w:rsidRDefault="00157FBF" w:rsidP="00B30919">
            <w:pPr>
              <w:jc w:val="center"/>
              <w:rPr>
                <w:b/>
              </w:rPr>
            </w:pPr>
            <w:r>
              <w:rPr>
                <w:b/>
              </w:rPr>
              <w:t>Pro’s</w:t>
            </w:r>
          </w:p>
        </w:tc>
        <w:tc>
          <w:tcPr>
            <w:tcW w:w="4095" w:type="dxa"/>
          </w:tcPr>
          <w:p w14:paraId="2C33E126" w14:textId="77777777" w:rsidR="00157FBF" w:rsidRPr="00EA79F6" w:rsidRDefault="00157FBF" w:rsidP="00B30919">
            <w:pPr>
              <w:jc w:val="center"/>
              <w:rPr>
                <w:b/>
              </w:rPr>
            </w:pPr>
            <w:r>
              <w:rPr>
                <w:b/>
              </w:rPr>
              <w:t>Con’s</w:t>
            </w:r>
          </w:p>
        </w:tc>
      </w:tr>
      <w:tr w:rsidR="00157FBF" w:rsidRPr="00215FF8" w14:paraId="35D16E62" w14:textId="77777777" w:rsidTr="008706EF">
        <w:tc>
          <w:tcPr>
            <w:tcW w:w="4095" w:type="dxa"/>
          </w:tcPr>
          <w:p w14:paraId="1090C84F" w14:textId="77777777" w:rsidR="00157FBF" w:rsidRDefault="00157FBF" w:rsidP="00B30919">
            <w:r>
              <w:lastRenderedPageBreak/>
              <w:t>Basin-specific approach</w:t>
            </w:r>
          </w:p>
        </w:tc>
        <w:tc>
          <w:tcPr>
            <w:tcW w:w="4095" w:type="dxa"/>
          </w:tcPr>
          <w:p w14:paraId="1D6138EC" w14:textId="77777777" w:rsidR="00157FBF" w:rsidRPr="00BB67BD" w:rsidRDefault="00CD76E9" w:rsidP="00B30919">
            <w:r w:rsidRPr="00BB67BD">
              <w:t>Rulemaking is costly an</w:t>
            </w:r>
            <w:r w:rsidR="003F59A7" w:rsidRPr="00BB67BD">
              <w:t>d time consuming for the agency</w:t>
            </w:r>
          </w:p>
        </w:tc>
      </w:tr>
      <w:tr w:rsidR="00157FBF" w:rsidRPr="00215FF8" w14:paraId="208A17A6" w14:textId="77777777" w:rsidTr="008706EF">
        <w:tc>
          <w:tcPr>
            <w:tcW w:w="4095" w:type="dxa"/>
          </w:tcPr>
          <w:p w14:paraId="3E84655E" w14:textId="77777777" w:rsidR="00157FBF" w:rsidRDefault="00157FBF" w:rsidP="00B30919">
            <w:r>
              <w:t xml:space="preserve">The rulemaking process would </w:t>
            </w:r>
            <w:r w:rsidR="00CD76E9">
              <w:t>consider public comment</w:t>
            </w:r>
          </w:p>
        </w:tc>
        <w:tc>
          <w:tcPr>
            <w:tcW w:w="4095" w:type="dxa"/>
          </w:tcPr>
          <w:p w14:paraId="783190BA" w14:textId="247D7E7C" w:rsidR="00157FBF" w:rsidRPr="00BB67BD" w:rsidRDefault="00CD76E9" w:rsidP="00B30919">
            <w:r w:rsidRPr="00BB67BD">
              <w:t xml:space="preserve">With other rulemaking priorities, it is unclear when Ecology </w:t>
            </w:r>
            <w:r w:rsidR="00085B64" w:rsidRPr="00BB67BD">
              <w:t>will have</w:t>
            </w:r>
            <w:r w:rsidR="006E7940" w:rsidRPr="00BB67BD">
              <w:t xml:space="preserve"> resources to undertake</w:t>
            </w:r>
            <w:r w:rsidRPr="00BB67BD">
              <w:t xml:space="preserve"> this rulemaking</w:t>
            </w:r>
            <w:r w:rsidR="006E7940" w:rsidRPr="00BB67BD">
              <w:t xml:space="preserve"> in the near term</w:t>
            </w:r>
          </w:p>
        </w:tc>
      </w:tr>
      <w:tr w:rsidR="00145CA7" w:rsidRPr="00215FF8" w14:paraId="5EAE6311" w14:textId="77777777" w:rsidTr="008706EF">
        <w:tc>
          <w:tcPr>
            <w:tcW w:w="4095" w:type="dxa"/>
          </w:tcPr>
          <w:p w14:paraId="6CB9FA51" w14:textId="77777777" w:rsidR="00145CA7" w:rsidRDefault="00145CA7" w:rsidP="00B30919"/>
        </w:tc>
        <w:tc>
          <w:tcPr>
            <w:tcW w:w="4095" w:type="dxa"/>
          </w:tcPr>
          <w:p w14:paraId="35C4EC6A" w14:textId="7D6A1483" w:rsidR="00145CA7" w:rsidRDefault="003F59A7" w:rsidP="00B30919">
            <w:r>
              <w:t>Would need clear criteria for what would justify this rulemaking – this could be difficult to articulate and/or measure</w:t>
            </w:r>
          </w:p>
        </w:tc>
      </w:tr>
      <w:tr w:rsidR="006E7940" w:rsidRPr="00215FF8" w14:paraId="324D23C1" w14:textId="77777777" w:rsidTr="008706EF">
        <w:tc>
          <w:tcPr>
            <w:tcW w:w="4095" w:type="dxa"/>
          </w:tcPr>
          <w:p w14:paraId="631B64BB" w14:textId="77777777" w:rsidR="006E7940" w:rsidRDefault="006E7940" w:rsidP="00B30919"/>
        </w:tc>
        <w:tc>
          <w:tcPr>
            <w:tcW w:w="4095" w:type="dxa"/>
          </w:tcPr>
          <w:p w14:paraId="2CF446CE" w14:textId="77777777" w:rsidR="006E7940" w:rsidRDefault="006E7940" w:rsidP="00B30919">
            <w:r>
              <w:t>Even with authority to adopt rules with this standard, rulemaking requires that the benefits outweigh the costs and it’s unclear</w:t>
            </w:r>
            <w:r w:rsidR="00F31E9E">
              <w:t xml:space="preserve"> whether that would be the case</w:t>
            </w:r>
          </w:p>
        </w:tc>
      </w:tr>
    </w:tbl>
    <w:p w14:paraId="13DCED13" w14:textId="77777777" w:rsidR="0096129F" w:rsidRDefault="0089207E" w:rsidP="00B30919">
      <w:pPr>
        <w:pStyle w:val="ListParagraph"/>
        <w:numPr>
          <w:ilvl w:val="0"/>
          <w:numId w:val="11"/>
        </w:numPr>
        <w:spacing w:before="240" w:after="120"/>
        <w:ind w:left="1080" w:hanging="720"/>
        <w:contextualSpacing w:val="0"/>
      </w:pPr>
      <w:r w:rsidRPr="00D46281">
        <w:t xml:space="preserve">Create an administrative tool </w:t>
      </w:r>
      <w:r w:rsidR="0047651E" w:rsidRPr="00D46281">
        <w:t>or implement</w:t>
      </w:r>
      <w:r w:rsidR="0047651E">
        <w:t xml:space="preserve"> a process/procedure </w:t>
      </w:r>
      <w:r>
        <w:t xml:space="preserve">such that </w:t>
      </w:r>
      <w:r w:rsidR="0096129F">
        <w:t>a water right may be moved back upstream without a finding of impairment to intervening users. [Note, Ecology could implement this within existing authority].</w:t>
      </w:r>
    </w:p>
    <w:tbl>
      <w:tblPr>
        <w:tblStyle w:val="TableGrid"/>
        <w:tblW w:w="0" w:type="auto"/>
        <w:tblInd w:w="1075" w:type="dxa"/>
        <w:tblLook w:val="04A0" w:firstRow="1" w:lastRow="0" w:firstColumn="1" w:lastColumn="0" w:noHBand="0" w:noVBand="1"/>
      </w:tblPr>
      <w:tblGrid>
        <w:gridCol w:w="4095"/>
        <w:gridCol w:w="4095"/>
      </w:tblGrid>
      <w:tr w:rsidR="0096129F" w14:paraId="46319DD0" w14:textId="77777777" w:rsidTr="008706EF">
        <w:tc>
          <w:tcPr>
            <w:tcW w:w="8190" w:type="dxa"/>
            <w:gridSpan w:val="2"/>
          </w:tcPr>
          <w:p w14:paraId="1D7FAD8C" w14:textId="77777777" w:rsidR="0096129F" w:rsidRDefault="0096129F" w:rsidP="00B30919">
            <w:pPr>
              <w:rPr>
                <w:b/>
              </w:rPr>
            </w:pPr>
            <w:r>
              <w:rPr>
                <w:b/>
              </w:rPr>
              <w:t xml:space="preserve">Objective: </w:t>
            </w:r>
            <w:r>
              <w:t>Create greater flexibility such that out-of-basin transfers are no longer “permanent” and m</w:t>
            </w:r>
            <w:r w:rsidR="00F31E9E">
              <w:t>ay be transferred back upstream</w:t>
            </w:r>
          </w:p>
        </w:tc>
      </w:tr>
      <w:tr w:rsidR="0096129F" w:rsidRPr="00EA79F6" w14:paraId="58300D2F" w14:textId="77777777" w:rsidTr="008706EF">
        <w:tc>
          <w:tcPr>
            <w:tcW w:w="4095" w:type="dxa"/>
          </w:tcPr>
          <w:p w14:paraId="7880191D" w14:textId="77777777" w:rsidR="0096129F" w:rsidRPr="00EA79F6" w:rsidRDefault="0096129F" w:rsidP="00B30919">
            <w:pPr>
              <w:jc w:val="center"/>
              <w:rPr>
                <w:b/>
              </w:rPr>
            </w:pPr>
            <w:r>
              <w:rPr>
                <w:b/>
              </w:rPr>
              <w:t>Pro’s</w:t>
            </w:r>
          </w:p>
        </w:tc>
        <w:tc>
          <w:tcPr>
            <w:tcW w:w="4095" w:type="dxa"/>
          </w:tcPr>
          <w:p w14:paraId="65506498" w14:textId="77777777" w:rsidR="0096129F" w:rsidRPr="00EA79F6" w:rsidRDefault="0096129F" w:rsidP="00B30919">
            <w:pPr>
              <w:jc w:val="center"/>
              <w:rPr>
                <w:b/>
              </w:rPr>
            </w:pPr>
            <w:r>
              <w:rPr>
                <w:b/>
              </w:rPr>
              <w:t>Con’s</w:t>
            </w:r>
          </w:p>
        </w:tc>
      </w:tr>
      <w:tr w:rsidR="0096129F" w:rsidRPr="00215FF8" w14:paraId="5BEA9E2F" w14:textId="77777777" w:rsidTr="008706EF">
        <w:tc>
          <w:tcPr>
            <w:tcW w:w="4095" w:type="dxa"/>
          </w:tcPr>
          <w:p w14:paraId="4676A87A" w14:textId="77777777" w:rsidR="0096129F" w:rsidRDefault="0096129F" w:rsidP="00B30919">
            <w:r>
              <w:t xml:space="preserve">Increased flexibility to move water rights </w:t>
            </w:r>
            <w:r w:rsidR="008D7699">
              <w:t>back upstream after they have been transferred downstream</w:t>
            </w:r>
          </w:p>
        </w:tc>
        <w:tc>
          <w:tcPr>
            <w:tcW w:w="4095" w:type="dxa"/>
          </w:tcPr>
          <w:p w14:paraId="512A3972" w14:textId="77777777" w:rsidR="0096129F" w:rsidRPr="00215FF8" w:rsidRDefault="0096129F" w:rsidP="00B30919">
            <w:r>
              <w:t>Could be costly, time consuming, and complicated to implement</w:t>
            </w:r>
          </w:p>
        </w:tc>
      </w:tr>
      <w:tr w:rsidR="0096129F" w:rsidRPr="00215FF8" w14:paraId="5482D872" w14:textId="77777777" w:rsidTr="008706EF">
        <w:tc>
          <w:tcPr>
            <w:tcW w:w="4095" w:type="dxa"/>
          </w:tcPr>
          <w:p w14:paraId="52C34DC2" w14:textId="19A4ED44" w:rsidR="0096129F" w:rsidRDefault="004145DD" w:rsidP="003C660A">
            <w:r>
              <w:t xml:space="preserve">Potential </w:t>
            </w:r>
            <w:r w:rsidR="0096129F">
              <w:t>impact</w:t>
            </w:r>
            <w:r w:rsidR="000F41ED">
              <w:t>s</w:t>
            </w:r>
            <w:r w:rsidR="0096129F">
              <w:t xml:space="preserve"> on the local economy </w:t>
            </w:r>
            <w:r w:rsidR="000F41ED">
              <w:t xml:space="preserve">due to downstream transfers </w:t>
            </w:r>
            <w:r w:rsidR="003C660A">
              <w:t>could</w:t>
            </w:r>
            <w:r w:rsidR="0096129F">
              <w:t xml:space="preserve"> </w:t>
            </w:r>
            <w:r w:rsidR="000F41ED">
              <w:t>be</w:t>
            </w:r>
            <w:r w:rsidR="003C660A">
              <w:t>come</w:t>
            </w:r>
            <w:r w:rsidR="000F41ED">
              <w:t xml:space="preserve"> reversible</w:t>
            </w:r>
          </w:p>
        </w:tc>
        <w:tc>
          <w:tcPr>
            <w:tcW w:w="4095" w:type="dxa"/>
          </w:tcPr>
          <w:p w14:paraId="298AFFC4" w14:textId="45F72202" w:rsidR="0096129F" w:rsidRPr="00215FF8" w:rsidRDefault="000F41ED" w:rsidP="00B30919">
            <w:r>
              <w:t>Moving a right back upstream after an extended period of time may result in</w:t>
            </w:r>
            <w:r w:rsidR="0096129F">
              <w:t xml:space="preserve"> ecological impacts, especially given </w:t>
            </w:r>
            <w:r>
              <w:t>the impacts of</w:t>
            </w:r>
            <w:r w:rsidR="0096129F">
              <w:t xml:space="preserve"> climate change</w:t>
            </w:r>
          </w:p>
        </w:tc>
      </w:tr>
    </w:tbl>
    <w:p w14:paraId="030895C3" w14:textId="77777777" w:rsidR="007D4C8D" w:rsidRPr="00157FBF" w:rsidRDefault="007D4C8D" w:rsidP="00F111D1">
      <w:pPr>
        <w:pStyle w:val="Heading3"/>
      </w:pPr>
      <w:r>
        <w:t>Ideas Not Recommended</w:t>
      </w:r>
    </w:p>
    <w:p w14:paraId="7B661614" w14:textId="77777777" w:rsidR="007D4C8D" w:rsidRDefault="007D4C8D" w:rsidP="00B30919">
      <w:pPr>
        <w:pStyle w:val="ListParagraph"/>
        <w:numPr>
          <w:ilvl w:val="0"/>
          <w:numId w:val="7"/>
        </w:numPr>
        <w:spacing w:before="240" w:after="120"/>
        <w:ind w:left="1080" w:hanging="720"/>
        <w:contextualSpacing w:val="0"/>
      </w:pPr>
      <w:r>
        <w:t>Require that before the place of use of a water right may be transferred to a downstream WRIA, Ecology must determine that the change will not be detrimental to the public interest.</w:t>
      </w:r>
    </w:p>
    <w:p w14:paraId="1669FEF9" w14:textId="77777777" w:rsidR="007D4C8D" w:rsidRDefault="00F111D1" w:rsidP="00B30919">
      <w:pPr>
        <w:pStyle w:val="ListParagraph"/>
        <w:spacing w:before="120" w:after="120"/>
        <w:ind w:left="1080"/>
        <w:contextualSpacing w:val="0"/>
      </w:pPr>
      <w:r>
        <w:rPr>
          <w:u w:val="single"/>
        </w:rPr>
        <w:t>Reasoning</w:t>
      </w:r>
      <w:r w:rsidR="007D4C8D" w:rsidRPr="007D4C8D">
        <w:rPr>
          <w:u w:val="single"/>
        </w:rPr>
        <w:t>:</w:t>
      </w:r>
      <w:r w:rsidR="007D4C8D">
        <w:t xml:space="preserve"> Many participants expressed concern that a public interest test is too nebulous and subjective. Further, it is unclear at what geographic scale would be appropriate to measure the impacts – at a county level, regional, or statewide? There was also concern that using a public interest test could start to value some beneficial uses over others, which participants largely thought was unwise. Lastly, there was some sentiment that the heart of the problem lies in loss of economic opportunities for farming in upstream communities – and preventing a water right from moving downstream will not incentivize people to keep farming; thus, the policy tool is misplaced.</w:t>
      </w:r>
    </w:p>
    <w:p w14:paraId="7B674AAE" w14:textId="77777777" w:rsidR="003F59A7" w:rsidRDefault="003F59A7" w:rsidP="00B30919">
      <w:pPr>
        <w:pStyle w:val="ListParagraph"/>
        <w:numPr>
          <w:ilvl w:val="0"/>
          <w:numId w:val="7"/>
        </w:numPr>
        <w:spacing w:before="240" w:after="120"/>
        <w:ind w:left="1080" w:hanging="720"/>
        <w:contextualSpacing w:val="0"/>
      </w:pPr>
      <w:r>
        <w:t>Restrict the number of water rights that may be transferred for use out-of-basin from any one WRIA.</w:t>
      </w:r>
    </w:p>
    <w:p w14:paraId="76549739" w14:textId="09F904D4" w:rsidR="00D46281" w:rsidRDefault="00D46281" w:rsidP="00B30919">
      <w:pPr>
        <w:pStyle w:val="ListParagraph"/>
        <w:spacing w:before="120" w:after="120"/>
        <w:ind w:left="1080"/>
        <w:contextualSpacing w:val="0"/>
      </w:pPr>
      <w:r w:rsidRPr="003F59A7">
        <w:rPr>
          <w:u w:val="single"/>
        </w:rPr>
        <w:lastRenderedPageBreak/>
        <w:t>Reasoning:</w:t>
      </w:r>
      <w:r>
        <w:t xml:space="preserve"> It is unclear how Ecology would determine the appropriate number of water rights (or the quantity of water) that can be transferred. </w:t>
      </w:r>
    </w:p>
    <w:p w14:paraId="4E0F3D82" w14:textId="537E095D" w:rsidR="0089207E" w:rsidRPr="00D46281" w:rsidRDefault="0089207E" w:rsidP="00B30919">
      <w:pPr>
        <w:pStyle w:val="ListParagraph"/>
        <w:numPr>
          <w:ilvl w:val="0"/>
          <w:numId w:val="7"/>
        </w:numPr>
        <w:spacing w:before="240" w:after="120"/>
        <w:ind w:left="1080" w:hanging="720"/>
        <w:contextualSpacing w:val="0"/>
      </w:pPr>
      <w:r w:rsidRPr="00D46281">
        <w:t>Create a revolving loan fund to purchase water rights for use in the basin of origin. Authorize easements on a water rights that stipulate they may not be transferred for use out of the basin.</w:t>
      </w:r>
    </w:p>
    <w:p w14:paraId="39B78855" w14:textId="77777777" w:rsidR="0036749C" w:rsidRDefault="0036749C" w:rsidP="00B30919">
      <w:pPr>
        <w:pStyle w:val="ListParagraph"/>
        <w:spacing w:before="120" w:after="120"/>
        <w:ind w:left="1080"/>
        <w:contextualSpacing w:val="0"/>
      </w:pPr>
      <w:r w:rsidRPr="00D46281">
        <w:rPr>
          <w:u w:val="single"/>
        </w:rPr>
        <w:t>Reasoning:</w:t>
      </w:r>
      <w:r w:rsidRPr="00D46281">
        <w:t xml:space="preserve"> Would be administratively very costly. In addition, the availability of water rights for acquisition may be more of the limiting factor than funding.</w:t>
      </w:r>
    </w:p>
    <w:p w14:paraId="0656C03F" w14:textId="77777777" w:rsidR="000A5282" w:rsidRDefault="007D4C8D" w:rsidP="00F111D1">
      <w:pPr>
        <w:pStyle w:val="Heading2"/>
        <w:pBdr>
          <w:bottom w:val="single" w:sz="4" w:space="1" w:color="auto"/>
        </w:pBdr>
      </w:pPr>
      <w:r>
        <w:t xml:space="preserve">Topic 2: </w:t>
      </w:r>
      <w:r w:rsidR="000A5282" w:rsidRPr="000A5282">
        <w:t>Transparency in water right sales</w:t>
      </w:r>
    </w:p>
    <w:p w14:paraId="4919E5B6" w14:textId="77777777" w:rsidR="000A5282" w:rsidRDefault="000A5282" w:rsidP="00F111D1">
      <w:pPr>
        <w:pStyle w:val="Heading3"/>
      </w:pPr>
      <w:r w:rsidRPr="000A5282">
        <w:t>Findings</w:t>
      </w:r>
    </w:p>
    <w:p w14:paraId="018E5322" w14:textId="77777777" w:rsidR="00CC5AA1" w:rsidRPr="00F63D79" w:rsidRDefault="00CF354B" w:rsidP="00B30919">
      <w:pPr>
        <w:pStyle w:val="ListParagraph"/>
        <w:numPr>
          <w:ilvl w:val="0"/>
          <w:numId w:val="5"/>
        </w:numPr>
        <w:spacing w:before="240" w:after="120"/>
        <w:ind w:left="1080" w:hanging="720"/>
        <w:contextualSpacing w:val="0"/>
        <w:rPr>
          <w:i/>
        </w:rPr>
      </w:pPr>
      <w:r>
        <w:t>There was general sentiment among participants that the p</w:t>
      </w:r>
      <w:r w:rsidR="00CC5AA1">
        <w:t xml:space="preserve">ublic notice requirements </w:t>
      </w:r>
      <w:r w:rsidR="00085B64">
        <w:t xml:space="preserve">of sales and transfers </w:t>
      </w:r>
      <w:r>
        <w:t xml:space="preserve">are not the problem – rather, </w:t>
      </w:r>
      <w:r w:rsidR="00CC5AA1">
        <w:t xml:space="preserve">we should be concerned that transfer applications </w:t>
      </w:r>
      <w:r w:rsidR="00F31E9E">
        <w:t xml:space="preserve">posted online </w:t>
      </w:r>
      <w:r w:rsidR="00CC5AA1">
        <w:t>are not visible enough to the general public (especially in the case of conservancy board applications).</w:t>
      </w:r>
    </w:p>
    <w:p w14:paraId="4C17F4ED" w14:textId="77777777" w:rsidR="00CF354B" w:rsidRPr="008D7699" w:rsidRDefault="00CF354B" w:rsidP="00B30919">
      <w:pPr>
        <w:pStyle w:val="ListParagraph"/>
        <w:numPr>
          <w:ilvl w:val="0"/>
          <w:numId w:val="5"/>
        </w:numPr>
        <w:spacing w:before="240" w:after="120"/>
        <w:ind w:left="1080" w:hanging="720"/>
        <w:contextualSpacing w:val="0"/>
        <w:rPr>
          <w:i/>
        </w:rPr>
      </w:pPr>
      <w:r>
        <w:t>Increased knowledge of sales and prices could help to develop a more robust marketplace for trading water rights.</w:t>
      </w:r>
    </w:p>
    <w:p w14:paraId="4E1BFD11" w14:textId="77777777" w:rsidR="008D7699" w:rsidRPr="008D7699" w:rsidRDefault="008D7699" w:rsidP="00B30919">
      <w:pPr>
        <w:pStyle w:val="ListParagraph"/>
        <w:numPr>
          <w:ilvl w:val="0"/>
          <w:numId w:val="5"/>
        </w:numPr>
        <w:spacing w:before="240" w:after="120"/>
        <w:ind w:left="1080" w:hanging="720"/>
        <w:contextualSpacing w:val="0"/>
        <w:rPr>
          <w:i/>
        </w:rPr>
      </w:pPr>
      <w:r>
        <w:t>The requirement to post notice of water right transfers in the newspaper is outdated.</w:t>
      </w:r>
    </w:p>
    <w:p w14:paraId="22C859BB" w14:textId="77777777" w:rsidR="007D4C8D" w:rsidRPr="000534D8" w:rsidRDefault="00F63D79" w:rsidP="00B30919">
      <w:pPr>
        <w:pStyle w:val="ListParagraph"/>
        <w:numPr>
          <w:ilvl w:val="0"/>
          <w:numId w:val="5"/>
        </w:numPr>
        <w:spacing w:before="240" w:after="120"/>
        <w:ind w:left="1080" w:hanging="720"/>
        <w:contextualSpacing w:val="0"/>
        <w:rPr>
          <w:i/>
        </w:rPr>
      </w:pPr>
      <w:r>
        <w:t xml:space="preserve">There was common agreement that limiting who can buy a water right (such as prohibiting out-of-state entities) is unwise. </w:t>
      </w:r>
      <w:r w:rsidR="00F31E9E">
        <w:t>See NR.2.1 for details.</w:t>
      </w:r>
    </w:p>
    <w:p w14:paraId="28C1B162" w14:textId="77777777" w:rsidR="00F63D79" w:rsidRPr="00A37860" w:rsidRDefault="00A37860" w:rsidP="00F111D1">
      <w:pPr>
        <w:pStyle w:val="Heading3"/>
      </w:pPr>
      <w:r w:rsidRPr="00A37860">
        <w:t>Potential Policy Tools</w:t>
      </w:r>
    </w:p>
    <w:p w14:paraId="29BEB3AD" w14:textId="77777777" w:rsidR="00B315A6" w:rsidRDefault="0096129F" w:rsidP="00B30919">
      <w:pPr>
        <w:pStyle w:val="ListParagraph"/>
        <w:numPr>
          <w:ilvl w:val="0"/>
          <w:numId w:val="19"/>
        </w:numPr>
        <w:spacing w:before="240" w:after="120"/>
        <w:ind w:left="1080" w:hanging="720"/>
        <w:contextualSpacing w:val="0"/>
      </w:pPr>
      <w:r>
        <w:t xml:space="preserve">Align disclosure laws </w:t>
      </w:r>
      <w:r w:rsidR="00F31E9E">
        <w:t xml:space="preserve">for </w:t>
      </w:r>
      <w:r w:rsidR="008D7699">
        <w:t xml:space="preserve">water rights sold separately from land with the laws for land sales. </w:t>
      </w:r>
      <w:r>
        <w:t xml:space="preserve">Require that water right sales (and prices) are reported to the state and made publically available. </w:t>
      </w:r>
    </w:p>
    <w:tbl>
      <w:tblPr>
        <w:tblStyle w:val="TableGrid"/>
        <w:tblW w:w="0" w:type="auto"/>
        <w:tblInd w:w="1075" w:type="dxa"/>
        <w:tblLook w:val="04A0" w:firstRow="1" w:lastRow="0" w:firstColumn="1" w:lastColumn="0" w:noHBand="0" w:noVBand="1"/>
      </w:tblPr>
      <w:tblGrid>
        <w:gridCol w:w="4095"/>
        <w:gridCol w:w="4095"/>
      </w:tblGrid>
      <w:tr w:rsidR="0042500A" w:rsidRPr="00EA79F6" w14:paraId="54AB6B54" w14:textId="77777777" w:rsidTr="008706EF">
        <w:tc>
          <w:tcPr>
            <w:tcW w:w="8190" w:type="dxa"/>
            <w:gridSpan w:val="2"/>
          </w:tcPr>
          <w:p w14:paraId="13FFBABC" w14:textId="77777777" w:rsidR="0042500A" w:rsidRPr="00EA79F6" w:rsidRDefault="0042500A" w:rsidP="008F6999">
            <w:pPr>
              <w:rPr>
                <w:b/>
              </w:rPr>
            </w:pPr>
            <w:r>
              <w:rPr>
                <w:b/>
              </w:rPr>
              <w:t xml:space="preserve">Objective: </w:t>
            </w:r>
            <w:r w:rsidR="0096129F" w:rsidRPr="0096129F">
              <w:t>Improve transparency</w:t>
            </w:r>
          </w:p>
        </w:tc>
      </w:tr>
      <w:tr w:rsidR="0042500A" w:rsidRPr="00EA79F6" w14:paraId="60F83307" w14:textId="77777777" w:rsidTr="008706EF">
        <w:tc>
          <w:tcPr>
            <w:tcW w:w="4095" w:type="dxa"/>
          </w:tcPr>
          <w:p w14:paraId="4F4155B9" w14:textId="77777777" w:rsidR="0042500A" w:rsidRPr="00EA79F6" w:rsidRDefault="0042500A" w:rsidP="006B7696">
            <w:pPr>
              <w:jc w:val="center"/>
              <w:rPr>
                <w:b/>
              </w:rPr>
            </w:pPr>
            <w:r w:rsidRPr="00EA79F6">
              <w:rPr>
                <w:b/>
              </w:rPr>
              <w:t>Pro’s</w:t>
            </w:r>
          </w:p>
        </w:tc>
        <w:tc>
          <w:tcPr>
            <w:tcW w:w="4095" w:type="dxa"/>
          </w:tcPr>
          <w:p w14:paraId="18827CBE" w14:textId="77777777" w:rsidR="0042500A" w:rsidRPr="00EA79F6" w:rsidRDefault="0042500A" w:rsidP="006B7696">
            <w:pPr>
              <w:jc w:val="center"/>
              <w:rPr>
                <w:b/>
              </w:rPr>
            </w:pPr>
            <w:r w:rsidRPr="00EA79F6">
              <w:rPr>
                <w:b/>
              </w:rPr>
              <w:t>Con’s</w:t>
            </w:r>
          </w:p>
        </w:tc>
      </w:tr>
      <w:tr w:rsidR="0042500A" w14:paraId="47E7774C" w14:textId="77777777" w:rsidTr="008706EF">
        <w:tc>
          <w:tcPr>
            <w:tcW w:w="4095" w:type="dxa"/>
          </w:tcPr>
          <w:p w14:paraId="2CCA819D" w14:textId="77777777" w:rsidR="0042500A" w:rsidRPr="00215FF8" w:rsidRDefault="0096129F" w:rsidP="006B7696">
            <w:r>
              <w:t>Improves</w:t>
            </w:r>
            <w:r w:rsidR="009E4048">
              <w:t xml:space="preserve"> market transparency</w:t>
            </w:r>
          </w:p>
        </w:tc>
        <w:tc>
          <w:tcPr>
            <w:tcW w:w="4095" w:type="dxa"/>
          </w:tcPr>
          <w:p w14:paraId="6FDB375A" w14:textId="77777777" w:rsidR="0042500A" w:rsidRDefault="009E4048" w:rsidP="006B7696">
            <w:r w:rsidRPr="00D46281">
              <w:t>Administratively costly</w:t>
            </w:r>
            <w:r w:rsidR="0036749C" w:rsidRPr="00D46281">
              <w:t xml:space="preserve"> for both the state and local governments</w:t>
            </w:r>
          </w:p>
        </w:tc>
      </w:tr>
      <w:tr w:rsidR="0042500A" w14:paraId="01D42B5D" w14:textId="77777777" w:rsidTr="008706EF">
        <w:tc>
          <w:tcPr>
            <w:tcW w:w="4095" w:type="dxa"/>
          </w:tcPr>
          <w:p w14:paraId="15D88557" w14:textId="77777777" w:rsidR="0042500A" w:rsidRPr="00215FF8" w:rsidRDefault="0096129F" w:rsidP="006B7696">
            <w:r>
              <w:t>Could</w:t>
            </w:r>
            <w:r w:rsidR="009E4048">
              <w:t xml:space="preserve"> make more water rights available with knowledge of prices</w:t>
            </w:r>
          </w:p>
        </w:tc>
        <w:tc>
          <w:tcPr>
            <w:tcW w:w="4095" w:type="dxa"/>
          </w:tcPr>
          <w:p w14:paraId="2E800F35" w14:textId="77777777" w:rsidR="0042500A" w:rsidRDefault="009E4048" w:rsidP="00991E8B">
            <w:r>
              <w:t>Might increase the price of water</w:t>
            </w:r>
            <w:r w:rsidR="008D7699">
              <w:t>, including the cost of water right acquisitions</w:t>
            </w:r>
          </w:p>
        </w:tc>
      </w:tr>
    </w:tbl>
    <w:p w14:paraId="12759D0F" w14:textId="77777777" w:rsidR="0096129F" w:rsidRPr="0096129F" w:rsidRDefault="00F31E9E" w:rsidP="00B30919">
      <w:pPr>
        <w:pStyle w:val="ListParagraph"/>
        <w:numPr>
          <w:ilvl w:val="0"/>
          <w:numId w:val="19"/>
        </w:numPr>
        <w:spacing w:before="240" w:after="120"/>
        <w:ind w:left="1080" w:hanging="720"/>
        <w:contextualSpacing w:val="0"/>
      </w:pPr>
      <w:r>
        <w:t>M</w:t>
      </w:r>
      <w:r w:rsidR="0096129F">
        <w:t>ake water right transfer application information more accessible to the public</w:t>
      </w:r>
      <w:r>
        <w:t xml:space="preserve"> through administrative improvements</w:t>
      </w:r>
      <w:r w:rsidR="0096129F">
        <w:t xml:space="preserve">. </w:t>
      </w:r>
      <w:r>
        <w:t>Post water right change</w:t>
      </w:r>
      <w:r w:rsidR="0096129F">
        <w:t xml:space="preserve"> applications in an integrated, publicly-accessible GIS interface. [Note, Ecology can </w:t>
      </w:r>
      <w:r>
        <w:t>implement</w:t>
      </w:r>
      <w:r w:rsidR="0096129F">
        <w:t xml:space="preserve"> this within existing authority]</w:t>
      </w:r>
      <w:r>
        <w:t>.</w:t>
      </w:r>
    </w:p>
    <w:tbl>
      <w:tblPr>
        <w:tblStyle w:val="TableGrid"/>
        <w:tblW w:w="0" w:type="auto"/>
        <w:tblInd w:w="1075" w:type="dxa"/>
        <w:tblLook w:val="04A0" w:firstRow="1" w:lastRow="0" w:firstColumn="1" w:lastColumn="0" w:noHBand="0" w:noVBand="1"/>
      </w:tblPr>
      <w:tblGrid>
        <w:gridCol w:w="4095"/>
        <w:gridCol w:w="4095"/>
      </w:tblGrid>
      <w:tr w:rsidR="0096129F" w:rsidRPr="00EA79F6" w14:paraId="1CF6CE58" w14:textId="77777777" w:rsidTr="008706EF">
        <w:tc>
          <w:tcPr>
            <w:tcW w:w="8190" w:type="dxa"/>
            <w:gridSpan w:val="2"/>
          </w:tcPr>
          <w:p w14:paraId="4516F661" w14:textId="77777777" w:rsidR="0096129F" w:rsidRPr="00EA79F6" w:rsidRDefault="0096129F" w:rsidP="008F6999">
            <w:pPr>
              <w:rPr>
                <w:b/>
              </w:rPr>
            </w:pPr>
            <w:r>
              <w:rPr>
                <w:b/>
              </w:rPr>
              <w:t xml:space="preserve">Objective: </w:t>
            </w:r>
            <w:r w:rsidRPr="0096129F">
              <w:t>Improve transparency</w:t>
            </w:r>
          </w:p>
        </w:tc>
      </w:tr>
      <w:tr w:rsidR="0096129F" w:rsidRPr="00EA79F6" w14:paraId="091614E2" w14:textId="77777777" w:rsidTr="008706EF">
        <w:tc>
          <w:tcPr>
            <w:tcW w:w="4095" w:type="dxa"/>
          </w:tcPr>
          <w:p w14:paraId="4356B70C" w14:textId="77777777" w:rsidR="0096129F" w:rsidRPr="00EA79F6" w:rsidRDefault="0096129F" w:rsidP="006B7696">
            <w:pPr>
              <w:jc w:val="center"/>
              <w:rPr>
                <w:b/>
              </w:rPr>
            </w:pPr>
            <w:r w:rsidRPr="00EA79F6">
              <w:rPr>
                <w:b/>
              </w:rPr>
              <w:t>Pro’s</w:t>
            </w:r>
          </w:p>
        </w:tc>
        <w:tc>
          <w:tcPr>
            <w:tcW w:w="4095" w:type="dxa"/>
          </w:tcPr>
          <w:p w14:paraId="70B92039" w14:textId="77777777" w:rsidR="0096129F" w:rsidRPr="00EA79F6" w:rsidRDefault="0096129F" w:rsidP="006B7696">
            <w:pPr>
              <w:jc w:val="center"/>
              <w:rPr>
                <w:b/>
              </w:rPr>
            </w:pPr>
            <w:r w:rsidRPr="00EA79F6">
              <w:rPr>
                <w:b/>
              </w:rPr>
              <w:t>Con’s</w:t>
            </w:r>
          </w:p>
        </w:tc>
      </w:tr>
      <w:tr w:rsidR="0096129F" w14:paraId="43CF686E" w14:textId="77777777" w:rsidTr="008706EF">
        <w:tc>
          <w:tcPr>
            <w:tcW w:w="4095" w:type="dxa"/>
          </w:tcPr>
          <w:p w14:paraId="2F2BE46A" w14:textId="77777777" w:rsidR="0096129F" w:rsidRPr="00D46281" w:rsidRDefault="0096129F" w:rsidP="006B7696">
            <w:r w:rsidRPr="00D46281">
              <w:lastRenderedPageBreak/>
              <w:t>Improves access to information about water right transfers</w:t>
            </w:r>
          </w:p>
        </w:tc>
        <w:tc>
          <w:tcPr>
            <w:tcW w:w="4095" w:type="dxa"/>
          </w:tcPr>
          <w:p w14:paraId="41E686D5" w14:textId="77777777" w:rsidR="0096129F" w:rsidRPr="00D46281" w:rsidRDefault="00127212" w:rsidP="00127212">
            <w:r w:rsidRPr="00D46281">
              <w:t>Requires</w:t>
            </w:r>
            <w:r w:rsidR="009F4FED" w:rsidRPr="00D46281">
              <w:t xml:space="preserve"> some administrative resources to implement</w:t>
            </w:r>
          </w:p>
        </w:tc>
      </w:tr>
    </w:tbl>
    <w:p w14:paraId="42F2CB96" w14:textId="77777777" w:rsidR="007D4C8D" w:rsidRPr="00157FBF" w:rsidRDefault="007D4C8D" w:rsidP="00F111D1">
      <w:pPr>
        <w:pStyle w:val="Heading3"/>
      </w:pPr>
      <w:r>
        <w:t>Ideas Not Recommended</w:t>
      </w:r>
    </w:p>
    <w:p w14:paraId="77791E7E" w14:textId="478DA3E8" w:rsidR="007D4C8D" w:rsidRDefault="007D4C8D" w:rsidP="00B30919">
      <w:pPr>
        <w:pStyle w:val="ListParagraph"/>
        <w:numPr>
          <w:ilvl w:val="0"/>
          <w:numId w:val="18"/>
        </w:numPr>
        <w:spacing w:before="240" w:after="120"/>
        <w:ind w:left="1080" w:hanging="720"/>
        <w:contextualSpacing w:val="0"/>
      </w:pPr>
      <w:r>
        <w:t>Limit who can buy a Washington water right</w:t>
      </w:r>
      <w:r w:rsidR="003C660A">
        <w:t>.</w:t>
      </w:r>
    </w:p>
    <w:p w14:paraId="7C93C247" w14:textId="77777777" w:rsidR="00F31E9E" w:rsidRPr="000534D8" w:rsidRDefault="00F111D1" w:rsidP="00B30919">
      <w:pPr>
        <w:pStyle w:val="ListParagraph"/>
        <w:spacing w:before="120" w:after="120"/>
        <w:ind w:left="1080"/>
        <w:contextualSpacing w:val="0"/>
        <w:rPr>
          <w:i/>
        </w:rPr>
      </w:pPr>
      <w:r w:rsidRPr="00F31E9E">
        <w:rPr>
          <w:u w:val="single"/>
        </w:rPr>
        <w:t>Reasoning:</w:t>
      </w:r>
      <w:r w:rsidR="00F31E9E">
        <w:t xml:space="preserve"> </w:t>
      </w:r>
      <w:r w:rsidR="000534D8">
        <w:t>Frist, participants noted that s</w:t>
      </w:r>
      <w:r w:rsidR="00F31E9E">
        <w:t xml:space="preserve">ome out-of-state actors, like the Bureau of Reclamation, play an important role in water management in Washington. </w:t>
      </w:r>
      <w:r w:rsidR="000534D8">
        <w:t>Second, some feared it could hinder water management in interstate basins. Third, most participants thought that a</w:t>
      </w:r>
      <w:r w:rsidR="00F31E9E">
        <w:t>ny regulation limiting such entities would have easy workarounds and loopholes.</w:t>
      </w:r>
      <w:r w:rsidR="000534D8">
        <w:t xml:space="preserve"> Lastly, participants noted that a</w:t>
      </w:r>
      <w:r w:rsidR="00F31E9E">
        <w:t>nyone can buy land in Washington</w:t>
      </w:r>
      <w:r w:rsidR="000534D8">
        <w:t xml:space="preserve">, and it </w:t>
      </w:r>
      <w:r w:rsidR="00F31E9E">
        <w:t xml:space="preserve">would be incongruent to restrict who can buy water. </w:t>
      </w:r>
    </w:p>
    <w:p w14:paraId="4B911D65" w14:textId="1FD5CC22" w:rsidR="003F59A7" w:rsidRDefault="003F59A7" w:rsidP="00B30919">
      <w:pPr>
        <w:pStyle w:val="ListParagraph"/>
        <w:numPr>
          <w:ilvl w:val="0"/>
          <w:numId w:val="18"/>
        </w:numPr>
        <w:spacing w:before="240" w:after="120"/>
        <w:ind w:left="1080" w:hanging="720"/>
        <w:contextualSpacing w:val="0"/>
      </w:pPr>
      <w:r>
        <w:t xml:space="preserve">Provide advance </w:t>
      </w:r>
      <w:r w:rsidR="008D7699">
        <w:t xml:space="preserve">public </w:t>
      </w:r>
      <w:r>
        <w:t>notice of sales including price disclosure</w:t>
      </w:r>
      <w:r w:rsidR="003C660A">
        <w:t>.</w:t>
      </w:r>
    </w:p>
    <w:p w14:paraId="1921926C" w14:textId="5ED5B500" w:rsidR="0096129F" w:rsidRDefault="0096129F" w:rsidP="00B30919">
      <w:pPr>
        <w:pStyle w:val="ListParagraph"/>
        <w:spacing w:before="120" w:after="120"/>
        <w:ind w:left="1080"/>
        <w:contextualSpacing w:val="0"/>
      </w:pPr>
      <w:r w:rsidRPr="0096129F">
        <w:rPr>
          <w:u w:val="single"/>
        </w:rPr>
        <w:t>Reasoning:</w:t>
      </w:r>
      <w:r>
        <w:t xml:space="preserve"> </w:t>
      </w:r>
      <w:r w:rsidR="003C660A">
        <w:t>This c</w:t>
      </w:r>
      <w:r>
        <w:t>ould set the expectation that Ecology or local governments could prevent a sale from happening, which they w</w:t>
      </w:r>
      <w:r w:rsidR="003C660A">
        <w:t>ould not have authority to do. This a</w:t>
      </w:r>
      <w:r>
        <w:t xml:space="preserve">lso has high potential to disrupt sales. </w:t>
      </w:r>
    </w:p>
    <w:p w14:paraId="37FAEDD6" w14:textId="6804E773" w:rsidR="003F59A7" w:rsidRDefault="0096129F" w:rsidP="00B30919">
      <w:pPr>
        <w:pStyle w:val="ListParagraph"/>
        <w:numPr>
          <w:ilvl w:val="0"/>
          <w:numId w:val="18"/>
        </w:numPr>
        <w:spacing w:before="240" w:after="120"/>
        <w:ind w:left="1080" w:hanging="720"/>
        <w:contextualSpacing w:val="0"/>
      </w:pPr>
      <w:r>
        <w:t xml:space="preserve">Require that </w:t>
      </w:r>
      <w:r w:rsidR="003F59A7" w:rsidRPr="008D7699">
        <w:rPr>
          <w:u w:val="single"/>
        </w:rPr>
        <w:t xml:space="preserve">any </w:t>
      </w:r>
      <w:r w:rsidR="008D7699" w:rsidRPr="008D7699">
        <w:t xml:space="preserve">water right </w:t>
      </w:r>
      <w:r w:rsidR="003F59A7" w:rsidRPr="008D7699">
        <w:t>sale</w:t>
      </w:r>
      <w:r w:rsidR="003F59A7">
        <w:t xml:space="preserve"> be reported to </w:t>
      </w:r>
      <w:r>
        <w:t>county commissioners</w:t>
      </w:r>
      <w:r w:rsidR="003C660A">
        <w:t>.</w:t>
      </w:r>
    </w:p>
    <w:p w14:paraId="3082F1DA" w14:textId="77777777" w:rsidR="0096129F" w:rsidRPr="00A37860" w:rsidRDefault="0096129F" w:rsidP="00B30919">
      <w:pPr>
        <w:pStyle w:val="ListParagraph"/>
        <w:spacing w:before="120" w:after="120"/>
        <w:ind w:left="1080"/>
        <w:contextualSpacing w:val="0"/>
      </w:pPr>
      <w:r w:rsidRPr="0096129F">
        <w:rPr>
          <w:u w:val="single"/>
        </w:rPr>
        <w:t>Reasoning:</w:t>
      </w:r>
      <w:r>
        <w:t xml:space="preserve"> </w:t>
      </w:r>
      <w:r w:rsidR="008D7699">
        <w:t>I</w:t>
      </w:r>
      <w:r>
        <w:t>t is unclear what benefit would come from reporting all sales. It could also set the expectation that local governments could prevent a sale from happening, which they would not have authority to do.</w:t>
      </w:r>
    </w:p>
    <w:p w14:paraId="4A7CBE32" w14:textId="77777777" w:rsidR="000A5282" w:rsidRDefault="00D14D37" w:rsidP="00F111D1">
      <w:pPr>
        <w:pStyle w:val="Heading2"/>
        <w:pBdr>
          <w:bottom w:val="single" w:sz="4" w:space="1" w:color="auto"/>
        </w:pBdr>
      </w:pPr>
      <w:r>
        <w:t xml:space="preserve">Topic 3: </w:t>
      </w:r>
      <w:r w:rsidR="000A5282" w:rsidRPr="000A5282">
        <w:t xml:space="preserve">Private investment &amp; marketing of water rights – Use of the </w:t>
      </w:r>
      <w:r w:rsidR="0032733B">
        <w:t>Trust Water Rights Program</w:t>
      </w:r>
      <w:r w:rsidR="00F31E9E">
        <w:t xml:space="preserve"> (TWRP)</w:t>
      </w:r>
    </w:p>
    <w:p w14:paraId="4E30AD18" w14:textId="77777777" w:rsidR="000A5282" w:rsidRDefault="000A5282" w:rsidP="00F111D1">
      <w:pPr>
        <w:pStyle w:val="Heading3"/>
      </w:pPr>
      <w:r w:rsidRPr="000A5282">
        <w:t>Findings</w:t>
      </w:r>
    </w:p>
    <w:p w14:paraId="3C6D4856" w14:textId="77777777" w:rsidR="00D67DBA" w:rsidRPr="001D18DD" w:rsidRDefault="00F63D79" w:rsidP="00B30919">
      <w:pPr>
        <w:pStyle w:val="ListParagraph"/>
        <w:numPr>
          <w:ilvl w:val="0"/>
          <w:numId w:val="3"/>
        </w:numPr>
        <w:spacing w:before="240" w:after="120"/>
        <w:ind w:left="1080" w:hanging="720"/>
        <w:contextualSpacing w:val="0"/>
        <w:rPr>
          <w:i/>
        </w:rPr>
      </w:pPr>
      <w:r>
        <w:t>There is lack of consensus and common understanding of basic terminology of the trust program, including te</w:t>
      </w:r>
      <w:r w:rsidR="009B0659">
        <w:t xml:space="preserve">rms such as </w:t>
      </w:r>
      <w:r w:rsidR="009B0659" w:rsidRPr="009B0659">
        <w:rPr>
          <w:i/>
        </w:rPr>
        <w:t>temporary donation</w:t>
      </w:r>
      <w:r w:rsidR="009B0659">
        <w:t xml:space="preserve"> and </w:t>
      </w:r>
      <w:r w:rsidRPr="009B0659">
        <w:rPr>
          <w:i/>
        </w:rPr>
        <w:t>transfer into trust</w:t>
      </w:r>
      <w:r>
        <w:t xml:space="preserve">. </w:t>
      </w:r>
      <w:r w:rsidR="00D67DBA">
        <w:t xml:space="preserve">The most important distinction between “types” of trust water rights is the intended end use of that water right – or more precisely, </w:t>
      </w:r>
      <w:r w:rsidR="00346EB2">
        <w:t xml:space="preserve">the role that Ecology will play in managing the right. </w:t>
      </w:r>
      <w:r w:rsidR="00D67DBA">
        <w:t xml:space="preserve">This </w:t>
      </w:r>
      <w:r w:rsidR="00C9597C">
        <w:t>is not clear in statute.</w:t>
      </w:r>
    </w:p>
    <w:p w14:paraId="477CE42F" w14:textId="77777777" w:rsidR="00D67DBA" w:rsidRPr="009B0659" w:rsidRDefault="008D703F" w:rsidP="00B30919">
      <w:pPr>
        <w:pStyle w:val="ListParagraph"/>
        <w:numPr>
          <w:ilvl w:val="0"/>
          <w:numId w:val="3"/>
        </w:numPr>
        <w:spacing w:before="240" w:after="120"/>
        <w:ind w:left="1080" w:hanging="720"/>
        <w:contextualSpacing w:val="0"/>
        <w:rPr>
          <w:i/>
        </w:rPr>
      </w:pPr>
      <w:r>
        <w:t xml:space="preserve">The flexibility of the trust program is one of its greatest assets. Limiting its flexibility </w:t>
      </w:r>
      <w:r w:rsidR="00991E8B">
        <w:t xml:space="preserve">by clarifying certain definitions and processes </w:t>
      </w:r>
      <w:r>
        <w:t>could hamper creative water solutions.</w:t>
      </w:r>
      <w:r w:rsidR="00346EB2">
        <w:t xml:space="preserve"> Several participants expressed that for them, the value of flexibility outweighs any potential concerns over “abuse” of the TWRP. </w:t>
      </w:r>
    </w:p>
    <w:p w14:paraId="1D4AA9DB" w14:textId="77777777" w:rsidR="008D703F" w:rsidRPr="008D703F" w:rsidRDefault="008D703F" w:rsidP="00B30919">
      <w:pPr>
        <w:pStyle w:val="ListParagraph"/>
        <w:numPr>
          <w:ilvl w:val="0"/>
          <w:numId w:val="3"/>
        </w:numPr>
        <w:spacing w:before="240" w:after="120"/>
        <w:ind w:left="1080" w:hanging="720"/>
        <w:contextualSpacing w:val="0"/>
        <w:rPr>
          <w:i/>
        </w:rPr>
      </w:pPr>
      <w:r>
        <w:t>There is broad agreement that a water right being used for mitigation should first undergo a tentative determination of extent and validity.</w:t>
      </w:r>
      <w:r w:rsidR="0067269B">
        <w:t xml:space="preserve"> While there was general sentiment that Ecology already has the statutory authority to require this, there was not consensus. </w:t>
      </w:r>
      <w:r>
        <w:t xml:space="preserve"> </w:t>
      </w:r>
      <w:r w:rsidR="0067269B" w:rsidDel="0067269B">
        <w:t xml:space="preserve"> </w:t>
      </w:r>
    </w:p>
    <w:p w14:paraId="5462F4AC" w14:textId="77777777" w:rsidR="00493D8E" w:rsidRDefault="00493D8E" w:rsidP="00B30919">
      <w:pPr>
        <w:pStyle w:val="ListParagraph"/>
        <w:numPr>
          <w:ilvl w:val="0"/>
          <w:numId w:val="3"/>
        </w:numPr>
        <w:spacing w:before="240" w:after="120"/>
        <w:ind w:left="1080" w:hanging="720"/>
        <w:contextualSpacing w:val="0"/>
      </w:pPr>
      <w:r>
        <w:lastRenderedPageBreak/>
        <w:t xml:space="preserve">There was not consensus on whether the TWRP enables speculation in water rights and if </w:t>
      </w:r>
      <w:r w:rsidR="00991E8B">
        <w:t xml:space="preserve">so, whether it </w:t>
      </w:r>
      <w:r w:rsidR="0067269B">
        <w:t>is</w:t>
      </w:r>
      <w:r w:rsidR="00991E8B">
        <w:t xml:space="preserve"> even a problem</w:t>
      </w:r>
      <w:r>
        <w:t xml:space="preserve">. Further, there was not common understanding on the </w:t>
      </w:r>
      <w:r w:rsidR="002B750B">
        <w:t>meaning</w:t>
      </w:r>
      <w:r>
        <w:t xml:space="preserve"> of “speculation”. It was unclear whether reaching a common understanding would be instructive or not.</w:t>
      </w:r>
    </w:p>
    <w:p w14:paraId="73515A93" w14:textId="77777777" w:rsidR="00493D8E" w:rsidRDefault="002B750B" w:rsidP="00B30919">
      <w:pPr>
        <w:pStyle w:val="ListParagraph"/>
        <w:numPr>
          <w:ilvl w:val="0"/>
          <w:numId w:val="3"/>
        </w:numPr>
        <w:spacing w:before="240" w:after="120"/>
        <w:ind w:left="1080" w:hanging="720"/>
        <w:contextualSpacing w:val="0"/>
      </w:pPr>
      <w:r>
        <w:t>Most</w:t>
      </w:r>
      <w:r w:rsidR="00493D8E">
        <w:t xml:space="preserve"> participants were not concerned over use of the TWRP in ways that yield private profit. They </w:t>
      </w:r>
      <w:r w:rsidR="00882B5E">
        <w:t>contend that as long as the rights are</w:t>
      </w:r>
      <w:r w:rsidR="00493D8E">
        <w:t xml:space="preserve"> being beneficially used (including for instream flows), the intent behind the use nor the owner should matter – if someone happens to profit from keeping a water right in the TWRP, then that’s a win-win. This is especially true because use of the TWRP often yields streamflow benefits. </w:t>
      </w:r>
    </w:p>
    <w:p w14:paraId="130CAF6B" w14:textId="77777777" w:rsidR="00435C8F" w:rsidRDefault="00435C8F" w:rsidP="00B30919">
      <w:pPr>
        <w:pStyle w:val="ListParagraph"/>
        <w:numPr>
          <w:ilvl w:val="0"/>
          <w:numId w:val="3"/>
        </w:numPr>
        <w:spacing w:before="240" w:after="120"/>
        <w:ind w:left="1080" w:hanging="720"/>
        <w:contextualSpacing w:val="0"/>
      </w:pPr>
      <w:r>
        <w:t>Some participants</w:t>
      </w:r>
      <w:r w:rsidR="00493D8E">
        <w:t>, however,</w:t>
      </w:r>
      <w:r>
        <w:t xml:space="preserve"> expressed concern over the scenario whereby a person buys a water right with no plan to put it to beneficial use themselves</w:t>
      </w:r>
      <w:r w:rsidR="00493D8E">
        <w:t xml:space="preserve"> (other than instream flows)</w:t>
      </w:r>
      <w:r>
        <w:t>, but rather with the intent of reselling the water later at a higher price.</w:t>
      </w:r>
      <w:r w:rsidR="00D67DBA">
        <w:t xml:space="preserve"> </w:t>
      </w:r>
      <w:r w:rsidR="00493D8E">
        <w:t xml:space="preserve">They view this as speculative and concerning. </w:t>
      </w:r>
    </w:p>
    <w:p w14:paraId="68B252A4" w14:textId="77777777" w:rsidR="007B577D" w:rsidRDefault="007B577D" w:rsidP="007B577D">
      <w:pPr>
        <w:pStyle w:val="Heading3"/>
      </w:pPr>
      <w:r>
        <w:t xml:space="preserve">Potential Policy Tools </w:t>
      </w:r>
    </w:p>
    <w:p w14:paraId="1C195551" w14:textId="77777777" w:rsidR="00B315A6" w:rsidRDefault="002B750B" w:rsidP="00B30919">
      <w:pPr>
        <w:pStyle w:val="ListParagraph"/>
        <w:numPr>
          <w:ilvl w:val="0"/>
          <w:numId w:val="13"/>
        </w:numPr>
        <w:spacing w:before="240" w:after="120"/>
        <w:ind w:left="1080" w:hanging="720"/>
        <w:contextualSpacing w:val="0"/>
      </w:pPr>
      <w:r>
        <w:t>Amend chapter 90.42 RCW to</w:t>
      </w:r>
      <w:r w:rsidR="00B315A6" w:rsidRPr="00977B81">
        <w:t xml:space="preserve"> differentiate between water that is put in trust for </w:t>
      </w:r>
      <w:r w:rsidR="00F111D1">
        <w:t xml:space="preserve">the purpose of instream flow enhancement and </w:t>
      </w:r>
      <w:r w:rsidR="00B315A6" w:rsidRPr="00977B81">
        <w:t xml:space="preserve">protection from relinquishment </w:t>
      </w:r>
      <w:r w:rsidR="00F111D1">
        <w:t>versus water</w:t>
      </w:r>
      <w:r w:rsidR="00B315A6" w:rsidRPr="00977B81">
        <w:t xml:space="preserve"> that is placed in trust to be used as mitigation.</w:t>
      </w:r>
      <w:r>
        <w:rPr>
          <w:rStyle w:val="FootnoteReference"/>
        </w:rPr>
        <w:footnoteReference w:id="2"/>
      </w:r>
    </w:p>
    <w:tbl>
      <w:tblPr>
        <w:tblStyle w:val="TableGrid"/>
        <w:tblW w:w="8280" w:type="dxa"/>
        <w:tblInd w:w="1075" w:type="dxa"/>
        <w:tblLook w:val="04A0" w:firstRow="1" w:lastRow="0" w:firstColumn="1" w:lastColumn="0" w:noHBand="0" w:noVBand="1"/>
      </w:tblPr>
      <w:tblGrid>
        <w:gridCol w:w="4140"/>
        <w:gridCol w:w="4140"/>
      </w:tblGrid>
      <w:tr w:rsidR="00977B81" w:rsidRPr="00EA79F6" w14:paraId="531F1942" w14:textId="77777777" w:rsidTr="008706EF">
        <w:tc>
          <w:tcPr>
            <w:tcW w:w="8280" w:type="dxa"/>
            <w:gridSpan w:val="2"/>
          </w:tcPr>
          <w:p w14:paraId="12EAC1F2" w14:textId="77777777" w:rsidR="00977B81" w:rsidRPr="00EA79F6" w:rsidRDefault="00977B81" w:rsidP="00F31E9E">
            <w:pPr>
              <w:rPr>
                <w:b/>
              </w:rPr>
            </w:pPr>
            <w:r>
              <w:rPr>
                <w:b/>
              </w:rPr>
              <w:t xml:space="preserve">Objective: </w:t>
            </w:r>
            <w:r w:rsidR="00F111D1">
              <w:t>Create two categories of trust water rights to clea</w:t>
            </w:r>
            <w:r w:rsidR="00F31E9E">
              <w:t>rly differentiate their end use</w:t>
            </w:r>
          </w:p>
        </w:tc>
      </w:tr>
      <w:tr w:rsidR="00977B81" w:rsidRPr="00EA79F6" w14:paraId="12831EE3" w14:textId="77777777" w:rsidTr="008706EF">
        <w:tc>
          <w:tcPr>
            <w:tcW w:w="4140" w:type="dxa"/>
          </w:tcPr>
          <w:p w14:paraId="6B18E997" w14:textId="77777777" w:rsidR="00977B81" w:rsidRPr="00EA79F6" w:rsidRDefault="00977B81" w:rsidP="00F31E9E">
            <w:pPr>
              <w:ind w:hanging="720"/>
              <w:jc w:val="center"/>
              <w:rPr>
                <w:b/>
              </w:rPr>
            </w:pPr>
            <w:r w:rsidRPr="00EA79F6">
              <w:rPr>
                <w:b/>
              </w:rPr>
              <w:t>Pro’s</w:t>
            </w:r>
          </w:p>
        </w:tc>
        <w:tc>
          <w:tcPr>
            <w:tcW w:w="4140" w:type="dxa"/>
          </w:tcPr>
          <w:p w14:paraId="35C64649" w14:textId="77777777" w:rsidR="00977B81" w:rsidRPr="00EA79F6" w:rsidRDefault="00977B81" w:rsidP="00F31E9E">
            <w:pPr>
              <w:ind w:hanging="720"/>
              <w:jc w:val="center"/>
              <w:rPr>
                <w:b/>
              </w:rPr>
            </w:pPr>
            <w:r w:rsidRPr="00EA79F6">
              <w:rPr>
                <w:b/>
              </w:rPr>
              <w:t>Con’s</w:t>
            </w:r>
          </w:p>
        </w:tc>
      </w:tr>
      <w:tr w:rsidR="00977B81" w14:paraId="193EB076" w14:textId="77777777" w:rsidTr="008706EF">
        <w:tc>
          <w:tcPr>
            <w:tcW w:w="4140" w:type="dxa"/>
          </w:tcPr>
          <w:p w14:paraId="4B449F10" w14:textId="77777777" w:rsidR="00977B81" w:rsidRPr="00215FF8" w:rsidRDefault="00FE61CD" w:rsidP="00F31E9E">
            <w:r>
              <w:t xml:space="preserve">Will clarify </w:t>
            </w:r>
            <w:r w:rsidR="000F41ED">
              <w:t xml:space="preserve">both </w:t>
            </w:r>
            <w:r>
              <w:t xml:space="preserve">Ecology’s </w:t>
            </w:r>
            <w:r w:rsidR="000F41ED">
              <w:t>administrative</w:t>
            </w:r>
            <w:r>
              <w:t xml:space="preserve"> role and the water right holder’s </w:t>
            </w:r>
            <w:r w:rsidR="000F41ED">
              <w:t>long-term intentions for use</w:t>
            </w:r>
          </w:p>
        </w:tc>
        <w:tc>
          <w:tcPr>
            <w:tcW w:w="4140" w:type="dxa"/>
          </w:tcPr>
          <w:p w14:paraId="22971649" w14:textId="77777777" w:rsidR="00977B81" w:rsidRDefault="00DE1B69" w:rsidP="00F31E9E">
            <w:r>
              <w:t>Lack of</w:t>
            </w:r>
            <w:r w:rsidR="002B750B">
              <w:t xml:space="preserve"> consensus on terminology and proper distinctions</w:t>
            </w:r>
            <w:r>
              <w:t xml:space="preserve"> indicates</w:t>
            </w:r>
            <w:r w:rsidR="0067269B">
              <w:t xml:space="preserve"> </w:t>
            </w:r>
            <w:r w:rsidR="002B750B">
              <w:t xml:space="preserve">this </w:t>
            </w:r>
            <w:r w:rsidR="0067269B">
              <w:t>c</w:t>
            </w:r>
            <w:r w:rsidR="002B750B">
              <w:t xml:space="preserve">ould be </w:t>
            </w:r>
            <w:r w:rsidR="0043552E">
              <w:t xml:space="preserve">a </w:t>
            </w:r>
            <w:r w:rsidR="002B750B">
              <w:t>difficult and potentially len</w:t>
            </w:r>
            <w:r w:rsidR="0067269B">
              <w:t xml:space="preserve">gthy </w:t>
            </w:r>
            <w:r>
              <w:t>process</w:t>
            </w:r>
          </w:p>
        </w:tc>
      </w:tr>
      <w:tr w:rsidR="00977B81" w14:paraId="38AB14B7" w14:textId="77777777" w:rsidTr="008706EF">
        <w:tc>
          <w:tcPr>
            <w:tcW w:w="4140" w:type="dxa"/>
          </w:tcPr>
          <w:p w14:paraId="15044C5A" w14:textId="77777777" w:rsidR="00977B81" w:rsidRDefault="00F31E9E" w:rsidP="00F31E9E">
            <w:pPr>
              <w:ind w:hanging="18"/>
            </w:pPr>
            <w:r>
              <w:t>Provides</w:t>
            </w:r>
            <w:r w:rsidR="00FE61CD">
              <w:t xml:space="preserve"> clarity on mitigating new uses and </w:t>
            </w:r>
            <w:r w:rsidR="0067269B">
              <w:t>administrative processes</w:t>
            </w:r>
          </w:p>
        </w:tc>
        <w:tc>
          <w:tcPr>
            <w:tcW w:w="4140" w:type="dxa"/>
          </w:tcPr>
          <w:p w14:paraId="60F1D5FC" w14:textId="77777777" w:rsidR="00977B81" w:rsidRDefault="00977B81" w:rsidP="00F31E9E">
            <w:pPr>
              <w:ind w:hanging="720"/>
            </w:pPr>
          </w:p>
        </w:tc>
      </w:tr>
      <w:tr w:rsidR="00B5067E" w14:paraId="2EAFE7F6" w14:textId="77777777" w:rsidTr="008706EF">
        <w:tc>
          <w:tcPr>
            <w:tcW w:w="4140" w:type="dxa"/>
          </w:tcPr>
          <w:p w14:paraId="1646871A" w14:textId="77777777" w:rsidR="00B5067E" w:rsidRDefault="00B5067E" w:rsidP="00F31E9E">
            <w:pPr>
              <w:ind w:hanging="18"/>
            </w:pPr>
            <w:r>
              <w:t>Ensures that use of trust water rights will not impair existing rights</w:t>
            </w:r>
          </w:p>
        </w:tc>
        <w:tc>
          <w:tcPr>
            <w:tcW w:w="4140" w:type="dxa"/>
          </w:tcPr>
          <w:p w14:paraId="2AB9A306" w14:textId="77777777" w:rsidR="00B5067E" w:rsidRDefault="00B5067E" w:rsidP="00F31E9E">
            <w:pPr>
              <w:ind w:hanging="720"/>
            </w:pPr>
          </w:p>
        </w:tc>
      </w:tr>
    </w:tbl>
    <w:p w14:paraId="37CE0CC7" w14:textId="77777777" w:rsidR="00F63D79" w:rsidRPr="00977B81" w:rsidRDefault="00B315A6" w:rsidP="00B30919">
      <w:pPr>
        <w:pStyle w:val="ListParagraph"/>
        <w:numPr>
          <w:ilvl w:val="0"/>
          <w:numId w:val="13"/>
        </w:numPr>
        <w:spacing w:before="240" w:after="120"/>
        <w:ind w:left="1080" w:hanging="720"/>
        <w:contextualSpacing w:val="0"/>
        <w:rPr>
          <w:i/>
        </w:rPr>
      </w:pPr>
      <w:r w:rsidRPr="00977B81">
        <w:t xml:space="preserve">Clarify in </w:t>
      </w:r>
      <w:r w:rsidR="00180255">
        <w:t xml:space="preserve">chapter 90.42 RCW </w:t>
      </w:r>
      <w:r>
        <w:t xml:space="preserve">that any water right being used for </w:t>
      </w:r>
      <w:r w:rsidR="002B750B">
        <w:t xml:space="preserve">permanent </w:t>
      </w:r>
      <w:r>
        <w:t>m</w:t>
      </w:r>
      <w:r w:rsidR="00F111D1">
        <w:t>itigation</w:t>
      </w:r>
      <w:r w:rsidR="002B750B">
        <w:t xml:space="preserve"> or mitigation lasting longer than 5 years </w:t>
      </w:r>
      <w:r w:rsidR="00F111D1">
        <w:t>must first undergo a tentative determination of extent and validity</w:t>
      </w:r>
      <w:r>
        <w:t>.</w:t>
      </w:r>
    </w:p>
    <w:tbl>
      <w:tblPr>
        <w:tblStyle w:val="TableGrid"/>
        <w:tblW w:w="8280" w:type="dxa"/>
        <w:tblInd w:w="1075" w:type="dxa"/>
        <w:tblLook w:val="04A0" w:firstRow="1" w:lastRow="0" w:firstColumn="1" w:lastColumn="0" w:noHBand="0" w:noVBand="1"/>
      </w:tblPr>
      <w:tblGrid>
        <w:gridCol w:w="4140"/>
        <w:gridCol w:w="4140"/>
      </w:tblGrid>
      <w:tr w:rsidR="00977B81" w:rsidRPr="00D46281" w14:paraId="3136E39D" w14:textId="77777777" w:rsidTr="008706EF">
        <w:tc>
          <w:tcPr>
            <w:tcW w:w="8280" w:type="dxa"/>
            <w:gridSpan w:val="2"/>
          </w:tcPr>
          <w:p w14:paraId="76CCFDF0" w14:textId="14A204E0" w:rsidR="00977B81" w:rsidRPr="00D46281" w:rsidRDefault="00977B81" w:rsidP="00F31E9E">
            <w:r w:rsidRPr="00D46281">
              <w:rPr>
                <w:b/>
              </w:rPr>
              <w:t>Objective:</w:t>
            </w:r>
            <w:r w:rsidRPr="00D46281">
              <w:t xml:space="preserve"> </w:t>
            </w:r>
            <w:r w:rsidR="00F111D1" w:rsidRPr="00D46281">
              <w:t>Ensure that new mitigated uses will not impair existin</w:t>
            </w:r>
            <w:r w:rsidR="003C660A">
              <w:t>g water users or instream flows</w:t>
            </w:r>
          </w:p>
        </w:tc>
      </w:tr>
      <w:tr w:rsidR="00977B81" w:rsidRPr="00D46281" w14:paraId="38580A0E" w14:textId="77777777" w:rsidTr="008706EF">
        <w:tc>
          <w:tcPr>
            <w:tcW w:w="4140" w:type="dxa"/>
          </w:tcPr>
          <w:p w14:paraId="21C6C897" w14:textId="77777777" w:rsidR="00977B81" w:rsidRPr="00D46281" w:rsidRDefault="00977B81" w:rsidP="00F31E9E">
            <w:pPr>
              <w:ind w:hanging="720"/>
              <w:jc w:val="center"/>
              <w:rPr>
                <w:b/>
              </w:rPr>
            </w:pPr>
            <w:r w:rsidRPr="00D46281">
              <w:rPr>
                <w:b/>
              </w:rPr>
              <w:t>Pro’s</w:t>
            </w:r>
          </w:p>
        </w:tc>
        <w:tc>
          <w:tcPr>
            <w:tcW w:w="4140" w:type="dxa"/>
          </w:tcPr>
          <w:p w14:paraId="620A186D" w14:textId="77777777" w:rsidR="00977B81" w:rsidRPr="00D46281" w:rsidRDefault="00977B81" w:rsidP="00F31E9E">
            <w:pPr>
              <w:ind w:hanging="720"/>
              <w:jc w:val="center"/>
              <w:rPr>
                <w:b/>
              </w:rPr>
            </w:pPr>
            <w:r w:rsidRPr="00D46281">
              <w:rPr>
                <w:b/>
              </w:rPr>
              <w:t>Con’s</w:t>
            </w:r>
          </w:p>
        </w:tc>
      </w:tr>
      <w:tr w:rsidR="00977B81" w:rsidRPr="00D46281" w14:paraId="11BCFE78" w14:textId="77777777" w:rsidTr="008706EF">
        <w:tc>
          <w:tcPr>
            <w:tcW w:w="4140" w:type="dxa"/>
          </w:tcPr>
          <w:p w14:paraId="2486899D" w14:textId="77777777" w:rsidR="00977B81" w:rsidRPr="00D46281" w:rsidRDefault="00F111D1" w:rsidP="00F31E9E">
            <w:r w:rsidRPr="00D46281">
              <w:t>Added clarity from the Legislature</w:t>
            </w:r>
            <w:r w:rsidR="0036749C" w:rsidRPr="00D46281">
              <w:t xml:space="preserve"> will increase certainty and reduce legal risk</w:t>
            </w:r>
          </w:p>
        </w:tc>
        <w:tc>
          <w:tcPr>
            <w:tcW w:w="4140" w:type="dxa"/>
          </w:tcPr>
          <w:p w14:paraId="585A0D4C" w14:textId="77777777" w:rsidR="00977B81" w:rsidRPr="00D46281" w:rsidRDefault="00977B81" w:rsidP="0036749C">
            <w:r w:rsidRPr="00D46281">
              <w:t xml:space="preserve">Unclear whether this is necessary – Ecology </w:t>
            </w:r>
            <w:r w:rsidR="0036749C" w:rsidRPr="00D46281">
              <w:t>believes we</w:t>
            </w:r>
            <w:r w:rsidRPr="00D46281">
              <w:t xml:space="preserve"> already have the stat</w:t>
            </w:r>
            <w:r w:rsidR="00CF354B" w:rsidRPr="00D46281">
              <w:t>utory authority to require this</w:t>
            </w:r>
          </w:p>
        </w:tc>
      </w:tr>
      <w:tr w:rsidR="00B5067E" w:rsidRPr="00D46281" w14:paraId="3516698B" w14:textId="77777777" w:rsidTr="008706EF">
        <w:tc>
          <w:tcPr>
            <w:tcW w:w="4140" w:type="dxa"/>
          </w:tcPr>
          <w:p w14:paraId="1A7AFD9D" w14:textId="77777777" w:rsidR="00B5067E" w:rsidRPr="00D46281" w:rsidRDefault="00B5067E" w:rsidP="00F31E9E">
            <w:r w:rsidRPr="00D46281">
              <w:t xml:space="preserve">Ensures that use of trust water rights </w:t>
            </w:r>
            <w:r w:rsidR="001630CD" w:rsidRPr="00D46281">
              <w:t>will not impair existing rights</w:t>
            </w:r>
          </w:p>
        </w:tc>
        <w:tc>
          <w:tcPr>
            <w:tcW w:w="4140" w:type="dxa"/>
          </w:tcPr>
          <w:p w14:paraId="7B603677" w14:textId="77777777" w:rsidR="00B5067E" w:rsidRPr="00D46281" w:rsidRDefault="00B5067E" w:rsidP="00F31E9E"/>
        </w:tc>
      </w:tr>
    </w:tbl>
    <w:p w14:paraId="06336855" w14:textId="77777777" w:rsidR="00977B81" w:rsidRPr="00D46281" w:rsidRDefault="00180255" w:rsidP="00B30919">
      <w:pPr>
        <w:pStyle w:val="ListParagraph"/>
        <w:numPr>
          <w:ilvl w:val="0"/>
          <w:numId w:val="13"/>
        </w:numPr>
        <w:spacing w:before="240" w:after="120"/>
        <w:ind w:left="1080" w:hanging="720"/>
        <w:contextualSpacing w:val="0"/>
      </w:pPr>
      <w:r w:rsidRPr="00D46281">
        <w:lastRenderedPageBreak/>
        <w:t xml:space="preserve">Amend chapter 90.42 RCW to establish that any water right </w:t>
      </w:r>
      <w:r w:rsidR="00173268" w:rsidRPr="00D46281">
        <w:t>temporarily</w:t>
      </w:r>
      <w:r w:rsidRPr="00D46281">
        <w:t xml:space="preserve"> </w:t>
      </w:r>
      <w:r w:rsidRPr="00B30919">
        <w:t>donated</w:t>
      </w:r>
      <w:r w:rsidRPr="00D46281">
        <w:t xml:space="preserve"> into the TWRP may not be used to mitigate for new or existing uses.</w:t>
      </w:r>
    </w:p>
    <w:tbl>
      <w:tblPr>
        <w:tblStyle w:val="TableGrid"/>
        <w:tblW w:w="8280" w:type="dxa"/>
        <w:tblInd w:w="1075" w:type="dxa"/>
        <w:tblLook w:val="04A0" w:firstRow="1" w:lastRow="0" w:firstColumn="1" w:lastColumn="0" w:noHBand="0" w:noVBand="1"/>
      </w:tblPr>
      <w:tblGrid>
        <w:gridCol w:w="4140"/>
        <w:gridCol w:w="4140"/>
      </w:tblGrid>
      <w:tr w:rsidR="00180255" w:rsidRPr="00D46281" w14:paraId="25D778D1" w14:textId="77777777" w:rsidTr="00085B64">
        <w:tc>
          <w:tcPr>
            <w:tcW w:w="8280" w:type="dxa"/>
            <w:gridSpan w:val="2"/>
          </w:tcPr>
          <w:p w14:paraId="7D3643E4" w14:textId="77777777" w:rsidR="00180255" w:rsidRPr="00D46281" w:rsidRDefault="00180255" w:rsidP="00F31E9E">
            <w:r w:rsidRPr="00D46281">
              <w:rPr>
                <w:b/>
              </w:rPr>
              <w:t>Objective:</w:t>
            </w:r>
            <w:r w:rsidRPr="00D46281">
              <w:t xml:space="preserve"> Ensure that new mitigated uses will not impair existin</w:t>
            </w:r>
            <w:r w:rsidR="00085B64" w:rsidRPr="00D46281">
              <w:t>g water users or instream flows</w:t>
            </w:r>
          </w:p>
        </w:tc>
      </w:tr>
      <w:tr w:rsidR="00180255" w:rsidRPr="00D46281" w14:paraId="67E67CD0" w14:textId="77777777" w:rsidTr="00085B64">
        <w:tc>
          <w:tcPr>
            <w:tcW w:w="4140" w:type="dxa"/>
          </w:tcPr>
          <w:p w14:paraId="5642AE7C" w14:textId="77777777" w:rsidR="00180255" w:rsidRPr="00D46281" w:rsidRDefault="00180255" w:rsidP="00F31E9E">
            <w:pPr>
              <w:ind w:hanging="720"/>
              <w:jc w:val="center"/>
              <w:rPr>
                <w:b/>
              </w:rPr>
            </w:pPr>
            <w:r w:rsidRPr="00D46281">
              <w:rPr>
                <w:b/>
              </w:rPr>
              <w:t>Pro’s</w:t>
            </w:r>
          </w:p>
        </w:tc>
        <w:tc>
          <w:tcPr>
            <w:tcW w:w="4140" w:type="dxa"/>
          </w:tcPr>
          <w:p w14:paraId="572CAC9A" w14:textId="77777777" w:rsidR="00180255" w:rsidRPr="00D46281" w:rsidRDefault="00180255" w:rsidP="00F31E9E">
            <w:pPr>
              <w:ind w:hanging="720"/>
              <w:jc w:val="center"/>
              <w:rPr>
                <w:b/>
              </w:rPr>
            </w:pPr>
            <w:r w:rsidRPr="00D46281">
              <w:rPr>
                <w:b/>
              </w:rPr>
              <w:t>Con’s</w:t>
            </w:r>
          </w:p>
        </w:tc>
      </w:tr>
      <w:tr w:rsidR="00180255" w:rsidRPr="00D46281" w14:paraId="42B4E807" w14:textId="77777777" w:rsidTr="00085B64">
        <w:tc>
          <w:tcPr>
            <w:tcW w:w="4140" w:type="dxa"/>
          </w:tcPr>
          <w:p w14:paraId="104F34D9" w14:textId="77777777" w:rsidR="00180255" w:rsidRPr="00D46281" w:rsidRDefault="00882B5E" w:rsidP="00F31E9E">
            <w:r w:rsidRPr="00D46281">
              <w:t xml:space="preserve">This distinction would </w:t>
            </w:r>
            <w:r w:rsidR="00085B64" w:rsidRPr="00D46281">
              <w:t>help to keep</w:t>
            </w:r>
            <w:r w:rsidR="00180255" w:rsidRPr="00D46281">
              <w:t xml:space="preserve"> track of which </w:t>
            </w:r>
            <w:r w:rsidR="00173268" w:rsidRPr="00D46281">
              <w:t>ri</w:t>
            </w:r>
            <w:r w:rsidR="00085B64" w:rsidRPr="00D46281">
              <w:t>ghts can be used for mitigation</w:t>
            </w:r>
          </w:p>
        </w:tc>
        <w:tc>
          <w:tcPr>
            <w:tcW w:w="4140" w:type="dxa"/>
          </w:tcPr>
          <w:p w14:paraId="49AB10EB" w14:textId="77777777" w:rsidR="00180255" w:rsidRPr="00D46281" w:rsidRDefault="00180255" w:rsidP="0079500A">
            <w:r w:rsidRPr="00D46281">
              <w:t>Precludes flexibility</w:t>
            </w:r>
            <w:r w:rsidR="006002C9" w:rsidRPr="00D46281">
              <w:t xml:space="preserve">. </w:t>
            </w:r>
            <w:r w:rsidR="008F0491" w:rsidRPr="00D46281">
              <w:t>While most agreed that use of donations for mitigation is often inadvisable</w:t>
            </w:r>
            <w:r w:rsidR="0079500A" w:rsidRPr="00D46281">
              <w:t>, many people noted that in some unique</w:t>
            </w:r>
            <w:r w:rsidR="008F0491" w:rsidRPr="00D46281">
              <w:t xml:space="preserve"> circumstances</w:t>
            </w:r>
            <w:r w:rsidR="00F31E9E" w:rsidRPr="00D46281">
              <w:t>, it can be appropriate</w:t>
            </w:r>
          </w:p>
        </w:tc>
      </w:tr>
      <w:tr w:rsidR="008F0491" w14:paraId="474A541B" w14:textId="77777777" w:rsidTr="00085B64">
        <w:tc>
          <w:tcPr>
            <w:tcW w:w="4140" w:type="dxa"/>
          </w:tcPr>
          <w:p w14:paraId="31363A86" w14:textId="77777777" w:rsidR="008F0491" w:rsidRPr="00D46281" w:rsidRDefault="0043552E" w:rsidP="00F31E9E">
            <w:r w:rsidRPr="00D46281">
              <w:t>Helps to p</w:t>
            </w:r>
            <w:r w:rsidR="008F0491" w:rsidRPr="00D46281">
              <w:t>r</w:t>
            </w:r>
            <w:r w:rsidRPr="00D46281">
              <w:t>event</w:t>
            </w:r>
            <w:r w:rsidR="008F0491" w:rsidRPr="00D46281">
              <w:t xml:space="preserve"> the scenario whereby a permanent use </w:t>
            </w:r>
            <w:r w:rsidRPr="00D46281">
              <w:t>is mitigated by</w:t>
            </w:r>
            <w:r w:rsidR="008F0491" w:rsidRPr="00D46281">
              <w:t xml:space="preserve"> a temporary</w:t>
            </w:r>
            <w:r w:rsidR="00085B64" w:rsidRPr="00D46281">
              <w:t xml:space="preserve"> trust right</w:t>
            </w:r>
          </w:p>
        </w:tc>
        <w:tc>
          <w:tcPr>
            <w:tcW w:w="4140" w:type="dxa"/>
          </w:tcPr>
          <w:p w14:paraId="086FE254" w14:textId="77777777" w:rsidR="008F0491" w:rsidRDefault="0079500A" w:rsidP="00F31E9E">
            <w:r w:rsidRPr="00D46281">
              <w:t>Precludes flexibility for mitigation during droughts</w:t>
            </w:r>
          </w:p>
        </w:tc>
      </w:tr>
    </w:tbl>
    <w:p w14:paraId="7941E47B" w14:textId="77777777" w:rsidR="002B750B" w:rsidRDefault="002B750B" w:rsidP="00B30919">
      <w:pPr>
        <w:pStyle w:val="ListParagraph"/>
        <w:numPr>
          <w:ilvl w:val="0"/>
          <w:numId w:val="13"/>
        </w:numPr>
        <w:spacing w:before="240" w:after="120"/>
        <w:ind w:left="1080" w:hanging="720"/>
        <w:contextualSpacing w:val="0"/>
      </w:pPr>
      <w:r>
        <w:t>Conduct r</w:t>
      </w:r>
      <w:r w:rsidRPr="00977B81">
        <w:t>ulemaking to define common terminology and administrative processes for trust water and water banking.</w:t>
      </w:r>
      <w:r w:rsidR="00D00C23">
        <w:t xml:space="preserve"> [Note, Ecology could pursue this under existing authorities].</w:t>
      </w:r>
    </w:p>
    <w:tbl>
      <w:tblPr>
        <w:tblStyle w:val="TableGrid"/>
        <w:tblW w:w="8280" w:type="dxa"/>
        <w:tblInd w:w="1075" w:type="dxa"/>
        <w:tblLook w:val="04A0" w:firstRow="1" w:lastRow="0" w:firstColumn="1" w:lastColumn="0" w:noHBand="0" w:noVBand="1"/>
      </w:tblPr>
      <w:tblGrid>
        <w:gridCol w:w="4140"/>
        <w:gridCol w:w="4140"/>
      </w:tblGrid>
      <w:tr w:rsidR="002B750B" w:rsidRPr="00EA79F6" w14:paraId="13D8C8D7" w14:textId="77777777" w:rsidTr="008706EF">
        <w:tc>
          <w:tcPr>
            <w:tcW w:w="8280" w:type="dxa"/>
            <w:gridSpan w:val="2"/>
          </w:tcPr>
          <w:p w14:paraId="6FE73492" w14:textId="77777777" w:rsidR="002B750B" w:rsidRPr="00EA79F6" w:rsidRDefault="002B750B" w:rsidP="000534D8">
            <w:pPr>
              <w:ind w:left="720" w:hanging="720"/>
              <w:rPr>
                <w:b/>
              </w:rPr>
            </w:pPr>
            <w:r>
              <w:rPr>
                <w:b/>
              </w:rPr>
              <w:t xml:space="preserve">Objective: </w:t>
            </w:r>
            <w:r>
              <w:t>Clarify terminology</w:t>
            </w:r>
          </w:p>
        </w:tc>
      </w:tr>
      <w:tr w:rsidR="002B750B" w:rsidRPr="00EA79F6" w14:paraId="1A30F996" w14:textId="77777777" w:rsidTr="008706EF">
        <w:tc>
          <w:tcPr>
            <w:tcW w:w="4140" w:type="dxa"/>
          </w:tcPr>
          <w:p w14:paraId="7E9DA70F" w14:textId="77777777" w:rsidR="002B750B" w:rsidRPr="00EA79F6" w:rsidRDefault="002B750B" w:rsidP="00F31E9E">
            <w:pPr>
              <w:ind w:hanging="720"/>
              <w:jc w:val="center"/>
              <w:rPr>
                <w:b/>
              </w:rPr>
            </w:pPr>
            <w:r w:rsidRPr="00EA79F6">
              <w:rPr>
                <w:b/>
              </w:rPr>
              <w:t>Pro’s</w:t>
            </w:r>
          </w:p>
        </w:tc>
        <w:tc>
          <w:tcPr>
            <w:tcW w:w="4140" w:type="dxa"/>
          </w:tcPr>
          <w:p w14:paraId="011EEB2E" w14:textId="77777777" w:rsidR="002B750B" w:rsidRPr="00EA79F6" w:rsidRDefault="002B750B" w:rsidP="00F31E9E">
            <w:pPr>
              <w:ind w:hanging="720"/>
              <w:jc w:val="center"/>
              <w:rPr>
                <w:b/>
              </w:rPr>
            </w:pPr>
            <w:r w:rsidRPr="00EA79F6">
              <w:rPr>
                <w:b/>
              </w:rPr>
              <w:t>Con’s</w:t>
            </w:r>
          </w:p>
        </w:tc>
      </w:tr>
      <w:tr w:rsidR="002B750B" w14:paraId="0212D237" w14:textId="77777777" w:rsidTr="008706EF">
        <w:tc>
          <w:tcPr>
            <w:tcW w:w="4140" w:type="dxa"/>
          </w:tcPr>
          <w:p w14:paraId="63E3B9F8" w14:textId="77777777" w:rsidR="002B750B" w:rsidRPr="00215FF8" w:rsidRDefault="002B750B" w:rsidP="00F31E9E">
            <w:r>
              <w:t>Increased clarity</w:t>
            </w:r>
          </w:p>
        </w:tc>
        <w:tc>
          <w:tcPr>
            <w:tcW w:w="4140" w:type="dxa"/>
          </w:tcPr>
          <w:p w14:paraId="32625991" w14:textId="28F7A9EF" w:rsidR="002B750B" w:rsidRDefault="00A77B05" w:rsidP="00F31E9E">
            <w:r>
              <w:t>Because of the unclear language in existing statute, a rule could be appealed by entities that disagree with the interpretation of the st</w:t>
            </w:r>
            <w:r w:rsidR="003C660A">
              <w:t xml:space="preserve">atute being clarified in rule. </w:t>
            </w:r>
            <w:r>
              <w:t>This creates</w:t>
            </w:r>
            <w:r w:rsidR="00F31E9E">
              <w:t xml:space="preserve"> some uncertainty going forward</w:t>
            </w:r>
          </w:p>
        </w:tc>
      </w:tr>
      <w:tr w:rsidR="00A77B05" w14:paraId="4D11931F" w14:textId="77777777" w:rsidTr="008706EF">
        <w:tc>
          <w:tcPr>
            <w:tcW w:w="4140" w:type="dxa"/>
          </w:tcPr>
          <w:p w14:paraId="271746D9" w14:textId="77777777" w:rsidR="00A77B05" w:rsidRDefault="00A77B05" w:rsidP="00F31E9E">
            <w:r>
              <w:t>Rulemaking process will allow for meaningful public process</w:t>
            </w:r>
          </w:p>
        </w:tc>
        <w:tc>
          <w:tcPr>
            <w:tcW w:w="4140" w:type="dxa"/>
          </w:tcPr>
          <w:p w14:paraId="4305B585" w14:textId="77777777" w:rsidR="00A77B05" w:rsidRDefault="00A77B05" w:rsidP="00F31E9E">
            <w:r>
              <w:t>Rulemaking is costly and time consuming for the agency</w:t>
            </w:r>
          </w:p>
        </w:tc>
      </w:tr>
      <w:tr w:rsidR="00A77B05" w14:paraId="2D49D45A" w14:textId="77777777" w:rsidTr="008706EF">
        <w:tc>
          <w:tcPr>
            <w:tcW w:w="4140" w:type="dxa"/>
          </w:tcPr>
          <w:p w14:paraId="3645E401" w14:textId="77777777" w:rsidR="00A77B05" w:rsidRDefault="00A77B05" w:rsidP="00F31E9E"/>
        </w:tc>
        <w:tc>
          <w:tcPr>
            <w:tcW w:w="4140" w:type="dxa"/>
          </w:tcPr>
          <w:p w14:paraId="3248C8BD" w14:textId="77777777" w:rsidR="00A77B05" w:rsidRDefault="00A77B05" w:rsidP="00F31E9E">
            <w:r>
              <w:t>With other rulemaking priorities, it is unclear when Ecology will have resources to undertake t</w:t>
            </w:r>
            <w:r w:rsidR="009F4FED">
              <w:t>his rulemaking in the near term</w:t>
            </w:r>
          </w:p>
        </w:tc>
      </w:tr>
    </w:tbl>
    <w:p w14:paraId="15A21198" w14:textId="77777777" w:rsidR="0043552E" w:rsidRDefault="00D14D37" w:rsidP="0043552E">
      <w:pPr>
        <w:pStyle w:val="Heading3"/>
      </w:pPr>
      <w:r>
        <w:t>Ideas Not Recommended</w:t>
      </w:r>
    </w:p>
    <w:p w14:paraId="0589C1B3" w14:textId="77777777" w:rsidR="0043552E" w:rsidRDefault="0043552E" w:rsidP="00D22B28">
      <w:pPr>
        <w:pStyle w:val="ListParagraph"/>
        <w:numPr>
          <w:ilvl w:val="0"/>
          <w:numId w:val="12"/>
        </w:numPr>
        <w:spacing w:before="240" w:after="120"/>
        <w:ind w:left="1080" w:hanging="720"/>
        <w:contextualSpacing w:val="0"/>
      </w:pPr>
      <w:r>
        <w:t>Limit use of the TWRP such that that individuals who buy a water right must plan to put the wat</w:t>
      </w:r>
      <w:r w:rsidR="0032733B">
        <w:t>er to beneficial use themselves.</w:t>
      </w:r>
    </w:p>
    <w:p w14:paraId="10D89C77" w14:textId="4C933D2E" w:rsidR="0043552E" w:rsidRDefault="0032733B" w:rsidP="00B30919">
      <w:pPr>
        <w:pStyle w:val="ListParagraph"/>
        <w:spacing w:before="120" w:after="120"/>
        <w:ind w:left="1080"/>
        <w:contextualSpacing w:val="0"/>
      </w:pPr>
      <w:r w:rsidRPr="0032733B">
        <w:rPr>
          <w:u w:val="single"/>
        </w:rPr>
        <w:t>Reasoning:</w:t>
      </w:r>
      <w:r>
        <w:t xml:space="preserve"> Many p</w:t>
      </w:r>
      <w:r w:rsidR="0043552E">
        <w:t>articipants expressed that limiting use the trust program is unwarranted and inadvisable. They warned that we cannot know the buyers intent – and trying to scrutinize someone’s motives in using the TWRP would preclude creativ</w:t>
      </w:r>
      <w:r w:rsidR="003C660A">
        <w:t>e solutions to help streamflows</w:t>
      </w:r>
      <w:r w:rsidR="0043552E">
        <w:t>.</w:t>
      </w:r>
      <w:r w:rsidR="0043552E">
        <w:rPr>
          <w:rStyle w:val="CommentReference"/>
        </w:rPr>
        <w:t/>
      </w:r>
    </w:p>
    <w:p w14:paraId="60F729B1" w14:textId="479EF3C3" w:rsidR="00D14D37" w:rsidRDefault="0032733B" w:rsidP="00D22B28">
      <w:pPr>
        <w:pStyle w:val="ListParagraph"/>
        <w:numPr>
          <w:ilvl w:val="0"/>
          <w:numId w:val="12"/>
        </w:numPr>
        <w:spacing w:before="240" w:after="120"/>
        <w:ind w:left="1080" w:hanging="720"/>
        <w:contextualSpacing w:val="0"/>
      </w:pPr>
      <w:r>
        <w:t>L</w:t>
      </w:r>
      <w:r w:rsidR="00D14D37">
        <w:t>imit the number of trust water rights that can be removed from trust in any given year</w:t>
      </w:r>
      <w:r w:rsidR="003C660A">
        <w:t>.</w:t>
      </w:r>
    </w:p>
    <w:p w14:paraId="05074871" w14:textId="77777777" w:rsidR="00D14D37" w:rsidRDefault="009B0659" w:rsidP="00B30919">
      <w:pPr>
        <w:pStyle w:val="ListParagraph"/>
        <w:spacing w:before="120" w:after="120"/>
        <w:ind w:left="1080"/>
        <w:contextualSpacing w:val="0"/>
      </w:pPr>
      <w:r w:rsidRPr="009B0659">
        <w:rPr>
          <w:u w:val="single"/>
        </w:rPr>
        <w:t>Reasoning</w:t>
      </w:r>
      <w:r w:rsidR="00D14D37">
        <w:t xml:space="preserve">: We have not seen that water being withdrawn from trust has caused streamflow problems. </w:t>
      </w:r>
      <w:r w:rsidR="00F31E9E">
        <w:t>Also, it would</w:t>
      </w:r>
      <w:r w:rsidR="00D14D37">
        <w:t xml:space="preserve"> be difficult to determine the appropriate number</w:t>
      </w:r>
      <w:r w:rsidR="00FE0809">
        <w:t xml:space="preserve"> </w:t>
      </w:r>
      <w:r w:rsidR="00F31E9E">
        <w:t>of water rights that could be removed. I</w:t>
      </w:r>
      <w:r w:rsidR="00FE0809">
        <w:t xml:space="preserve">f the limit </w:t>
      </w:r>
      <w:r w:rsidR="00F31E9E">
        <w:t>were</w:t>
      </w:r>
      <w:r w:rsidR="00FE0809">
        <w:t xml:space="preserve"> based on geographic distribution, it would be difficult to track</w:t>
      </w:r>
      <w:r w:rsidR="00F31E9E">
        <w:t xml:space="preserve"> administratively</w:t>
      </w:r>
      <w:r w:rsidR="00FE0809">
        <w:t xml:space="preserve">. </w:t>
      </w:r>
    </w:p>
    <w:p w14:paraId="0372C210" w14:textId="77777777" w:rsidR="00D14D37" w:rsidRDefault="00D14D37" w:rsidP="00D22B28">
      <w:pPr>
        <w:pStyle w:val="ListParagraph"/>
        <w:numPr>
          <w:ilvl w:val="0"/>
          <w:numId w:val="12"/>
        </w:numPr>
        <w:spacing w:before="240" w:after="120"/>
        <w:ind w:left="1080" w:hanging="720"/>
        <w:contextualSpacing w:val="0"/>
      </w:pPr>
      <w:r>
        <w:lastRenderedPageBreak/>
        <w:t xml:space="preserve">Restrict how long a </w:t>
      </w:r>
      <w:r w:rsidR="00173268">
        <w:t>temporarily donated water right</w:t>
      </w:r>
      <w:r>
        <w:t xml:space="preserve"> may remain in trust.</w:t>
      </w:r>
    </w:p>
    <w:p w14:paraId="648B9D54" w14:textId="77777777" w:rsidR="00DF59B1" w:rsidRDefault="00CF354B" w:rsidP="00B30919">
      <w:pPr>
        <w:spacing w:before="120" w:after="120"/>
        <w:ind w:left="1080"/>
      </w:pPr>
      <w:r w:rsidRPr="00CF354B">
        <w:rPr>
          <w:u w:val="single"/>
        </w:rPr>
        <w:t>Reasoning</w:t>
      </w:r>
      <w:r>
        <w:t xml:space="preserve">: </w:t>
      </w:r>
      <w:r w:rsidR="001A3C1A">
        <w:t xml:space="preserve">Precludes flexibility. Data shows that most rights are in the TWRP for 5 years or shorter, so any limit above that timeframe would have limited utility. </w:t>
      </w:r>
    </w:p>
    <w:p w14:paraId="623A4153" w14:textId="77777777" w:rsidR="000A5282" w:rsidRDefault="00A838DA" w:rsidP="00A838DA">
      <w:pPr>
        <w:pStyle w:val="Heading2"/>
        <w:pBdr>
          <w:bottom w:val="single" w:sz="4" w:space="1" w:color="auto"/>
        </w:pBdr>
      </w:pPr>
      <w:r>
        <w:t xml:space="preserve">Topic 4: </w:t>
      </w:r>
      <w:r w:rsidR="000A5282" w:rsidRPr="000A5282">
        <w:t>Private investment &amp; marketing of water rights – Water banking</w:t>
      </w:r>
    </w:p>
    <w:p w14:paraId="6FE8E737" w14:textId="77777777" w:rsidR="000A5282" w:rsidRDefault="000A5282" w:rsidP="00F111D1">
      <w:pPr>
        <w:pStyle w:val="Heading3"/>
      </w:pPr>
      <w:r w:rsidRPr="000A5282">
        <w:t>Findings</w:t>
      </w:r>
    </w:p>
    <w:p w14:paraId="54FB0F8E" w14:textId="77777777" w:rsidR="003150D0" w:rsidRDefault="003150D0" w:rsidP="00D22B28">
      <w:pPr>
        <w:pStyle w:val="ListParagraph"/>
        <w:numPr>
          <w:ilvl w:val="0"/>
          <w:numId w:val="22"/>
        </w:numPr>
        <w:spacing w:before="240" w:after="120"/>
        <w:ind w:left="1080" w:hanging="720"/>
        <w:contextualSpacing w:val="0"/>
      </w:pPr>
      <w:r>
        <w:t xml:space="preserve">Water banks play a critical role in reallocating water between beneficial uses, including instream flows. </w:t>
      </w:r>
      <w:r w:rsidR="00A838DA">
        <w:t>Both public and private water banks play an important role</w:t>
      </w:r>
      <w:r>
        <w:t>.</w:t>
      </w:r>
    </w:p>
    <w:p w14:paraId="3E90AE0D" w14:textId="77777777" w:rsidR="002949C4" w:rsidRDefault="001B7257" w:rsidP="00D22B28">
      <w:pPr>
        <w:pStyle w:val="ListParagraph"/>
        <w:numPr>
          <w:ilvl w:val="0"/>
          <w:numId w:val="22"/>
        </w:numPr>
        <w:spacing w:before="240" w:after="120"/>
        <w:ind w:left="1080" w:hanging="720"/>
        <w:contextualSpacing w:val="0"/>
      </w:pPr>
      <w:r>
        <w:t>There was general agreement among participants that it can be concerning when a bank that provides water to meet basic health needs gains disproportionate market power or becomes a monopoly. However, participants debated whether the appropriate remedy is through carrots</w:t>
      </w:r>
      <w:r w:rsidR="00FB32A0">
        <w:t xml:space="preserve"> </w:t>
      </w:r>
      <w:r>
        <w:t xml:space="preserve">(incentivizing competition) or through sticks (increased regulation).  </w:t>
      </w:r>
    </w:p>
    <w:p w14:paraId="4F71FF0A" w14:textId="77777777" w:rsidR="004F3995" w:rsidRDefault="004F3995" w:rsidP="00D22B28">
      <w:pPr>
        <w:pStyle w:val="ListParagraph"/>
        <w:numPr>
          <w:ilvl w:val="1"/>
          <w:numId w:val="22"/>
        </w:numPr>
        <w:spacing w:before="240" w:after="120"/>
        <w:contextualSpacing w:val="0"/>
      </w:pPr>
      <w:r>
        <w:t>Some participants expressed that there should be greater government regulation of water banks providing water for public health and safety (like in-home use). Though there was no clear recommendation on what that that regulation should entail, some participants recommend learning lessons from oversight of public utilities.</w:t>
      </w:r>
    </w:p>
    <w:p w14:paraId="63520610" w14:textId="77777777" w:rsidR="004F3995" w:rsidRDefault="004F3995" w:rsidP="00D22B28">
      <w:pPr>
        <w:pStyle w:val="ListParagraph"/>
        <w:numPr>
          <w:ilvl w:val="1"/>
          <w:numId w:val="22"/>
        </w:numPr>
        <w:spacing w:before="240" w:after="120"/>
        <w:contextualSpacing w:val="0"/>
      </w:pPr>
      <w:r>
        <w:t xml:space="preserve">Other participants argued that while monopolistic behavior can be worrisome, increased regulation is not warranted. They expressed that the solution to monopolies would be to reduce barriers to entry as to increase bank competition. They expressed that rather than regulating the marketplace, Ecology should be positioned to support more banks. </w:t>
      </w:r>
    </w:p>
    <w:p w14:paraId="5CBF6F13" w14:textId="77777777" w:rsidR="00FB32A0" w:rsidRDefault="00FB32A0" w:rsidP="00D22B28">
      <w:pPr>
        <w:pStyle w:val="ListParagraph"/>
        <w:numPr>
          <w:ilvl w:val="0"/>
          <w:numId w:val="22"/>
        </w:numPr>
        <w:spacing w:before="240" w:after="120"/>
        <w:ind w:left="1080" w:hanging="720"/>
        <w:contextualSpacing w:val="0"/>
      </w:pPr>
      <w:r>
        <w:t>Rather than focusing on whether and how we should increasingly regulate water banking, we should focus on how the state can better support banking where it can play a critical role in addressing public health and safety and other water supply challenges.</w:t>
      </w:r>
    </w:p>
    <w:p w14:paraId="37150EE2" w14:textId="77777777" w:rsidR="009A4292" w:rsidRDefault="00030756" w:rsidP="00D22B28">
      <w:pPr>
        <w:pStyle w:val="ListParagraph"/>
        <w:numPr>
          <w:ilvl w:val="0"/>
          <w:numId w:val="22"/>
        </w:numPr>
        <w:spacing w:before="240" w:after="120"/>
        <w:ind w:left="1080" w:hanging="720"/>
        <w:contextualSpacing w:val="0"/>
      </w:pPr>
      <w:r>
        <w:t xml:space="preserve">Many participants expressed that transparency in water banks helps to ensure equity and fairness, especially regarding prices that banks charge customers. Several thought that the </w:t>
      </w:r>
      <w:r w:rsidR="009F4FED">
        <w:t xml:space="preserve">bill passed in </w:t>
      </w:r>
      <w:r>
        <w:t>2016 (</w:t>
      </w:r>
      <w:r w:rsidR="00F31E9E">
        <w:t>SB 6179</w:t>
      </w:r>
      <w:r>
        <w:t>) resulted in significant improvement</w:t>
      </w:r>
      <w:r w:rsidR="00D61D9C">
        <w:t xml:space="preserve"> and that no </w:t>
      </w:r>
      <w:r w:rsidR="00F31E9E">
        <w:t>further</w:t>
      </w:r>
      <w:r w:rsidR="00D61D9C">
        <w:t xml:space="preserve"> action </w:t>
      </w:r>
      <w:r w:rsidR="00F31E9E">
        <w:t>is</w:t>
      </w:r>
      <w:r w:rsidR="00D61D9C">
        <w:t xml:space="preserve"> needed at this point</w:t>
      </w:r>
      <w:r>
        <w:t>.</w:t>
      </w:r>
    </w:p>
    <w:p w14:paraId="3DE8CBEB" w14:textId="77777777" w:rsidR="006E1ABF" w:rsidRPr="00A838DA" w:rsidRDefault="006E1ABF" w:rsidP="00D22B28">
      <w:pPr>
        <w:pStyle w:val="ListParagraph"/>
        <w:numPr>
          <w:ilvl w:val="0"/>
          <w:numId w:val="22"/>
        </w:numPr>
        <w:spacing w:before="240" w:after="120"/>
        <w:ind w:left="1080" w:hanging="720"/>
        <w:contextualSpacing w:val="0"/>
      </w:pPr>
      <w:r>
        <w:t>Many participants thought it would be appropriate for water banks to pay the full administrative cost of bank establishment.</w:t>
      </w:r>
    </w:p>
    <w:p w14:paraId="26E3CBB7" w14:textId="1C93DFC3" w:rsidR="001B7257" w:rsidRDefault="001B7257" w:rsidP="00D22B28">
      <w:pPr>
        <w:pStyle w:val="ListParagraph"/>
        <w:numPr>
          <w:ilvl w:val="0"/>
          <w:numId w:val="22"/>
        </w:numPr>
        <w:spacing w:before="240" w:after="120"/>
        <w:ind w:left="1080" w:hanging="720"/>
        <w:contextualSpacing w:val="0"/>
      </w:pPr>
      <w:r>
        <w:t>Staffing and capacity limitations at Ecology result in lengthy processing times for water bank agreements and related water right change applications. It may also contribute to lack of consistency in practice</w:t>
      </w:r>
      <w:r w:rsidR="00DB2D87">
        <w:t>s</w:t>
      </w:r>
      <w:r>
        <w:t xml:space="preserve">, resulting in uncertainty for clients. </w:t>
      </w:r>
      <w:r w:rsidR="00D61D9C">
        <w:t xml:space="preserve">Additional resources for implementation of the </w:t>
      </w:r>
      <w:r w:rsidR="003C660A">
        <w:t>TWRP</w:t>
      </w:r>
      <w:r w:rsidR="00D61D9C">
        <w:t xml:space="preserve"> would benefit state water management.</w:t>
      </w:r>
    </w:p>
    <w:p w14:paraId="0C0B010D" w14:textId="77777777" w:rsidR="007B577D" w:rsidRDefault="007B577D" w:rsidP="007B577D">
      <w:pPr>
        <w:pStyle w:val="Heading3"/>
      </w:pPr>
      <w:r>
        <w:lastRenderedPageBreak/>
        <w:t xml:space="preserve">Potential Policy Tools </w:t>
      </w:r>
    </w:p>
    <w:p w14:paraId="1D3413D6" w14:textId="77777777" w:rsidR="007B577D" w:rsidRDefault="007B577D" w:rsidP="00D22B28">
      <w:pPr>
        <w:pStyle w:val="ListParagraph"/>
        <w:numPr>
          <w:ilvl w:val="0"/>
          <w:numId w:val="23"/>
        </w:numPr>
        <w:spacing w:before="240" w:after="120"/>
        <w:ind w:left="1080" w:hanging="720"/>
        <w:contextualSpacing w:val="0"/>
      </w:pPr>
      <w:r>
        <w:t>Require that prospective bankers submit a “water banking prospectus” in which t</w:t>
      </w:r>
      <w:r w:rsidR="003150D0">
        <w:t>hey outline their business plan</w:t>
      </w:r>
      <w:r w:rsidR="00FB32A0">
        <w:t>.</w:t>
      </w:r>
      <w:r w:rsidR="003150D0">
        <w:rPr>
          <w:rStyle w:val="FootnoteReference"/>
        </w:rPr>
        <w:footnoteReference w:id="3"/>
      </w:r>
      <w:r>
        <w:t xml:space="preserve"> The prospectus would be made available for public comment.</w:t>
      </w:r>
    </w:p>
    <w:tbl>
      <w:tblPr>
        <w:tblStyle w:val="TableGrid"/>
        <w:tblW w:w="8370" w:type="dxa"/>
        <w:tblInd w:w="1075" w:type="dxa"/>
        <w:tblLook w:val="04A0" w:firstRow="1" w:lastRow="0" w:firstColumn="1" w:lastColumn="0" w:noHBand="0" w:noVBand="1"/>
      </w:tblPr>
      <w:tblGrid>
        <w:gridCol w:w="4185"/>
        <w:gridCol w:w="4185"/>
      </w:tblGrid>
      <w:tr w:rsidR="00217B89" w:rsidRPr="009A4292" w14:paraId="2D248AA5" w14:textId="77777777" w:rsidTr="008706EF">
        <w:tc>
          <w:tcPr>
            <w:tcW w:w="8370" w:type="dxa"/>
            <w:gridSpan w:val="2"/>
          </w:tcPr>
          <w:p w14:paraId="71E9B07C" w14:textId="77777777" w:rsidR="00217B89" w:rsidRPr="009A4292" w:rsidRDefault="00217B89" w:rsidP="009A4292">
            <w:pPr>
              <w:rPr>
                <w:b/>
              </w:rPr>
            </w:pPr>
            <w:r w:rsidRPr="009A4292">
              <w:rPr>
                <w:b/>
              </w:rPr>
              <w:t xml:space="preserve">Objective: </w:t>
            </w:r>
            <w:r w:rsidR="00BD2FD5" w:rsidRPr="00BD2FD5">
              <w:t>Increase transparency on water banking activity</w:t>
            </w:r>
          </w:p>
        </w:tc>
      </w:tr>
      <w:tr w:rsidR="00217B89" w:rsidRPr="009A4292" w14:paraId="6F7ACE7D" w14:textId="77777777" w:rsidTr="008706EF">
        <w:tc>
          <w:tcPr>
            <w:tcW w:w="4185" w:type="dxa"/>
          </w:tcPr>
          <w:p w14:paraId="6DE7B0AF" w14:textId="77777777" w:rsidR="00217B89" w:rsidRPr="009A4292" w:rsidRDefault="00217B89" w:rsidP="009A4292">
            <w:pPr>
              <w:jc w:val="center"/>
              <w:rPr>
                <w:b/>
              </w:rPr>
            </w:pPr>
            <w:r w:rsidRPr="009A4292">
              <w:rPr>
                <w:b/>
              </w:rPr>
              <w:t>Pro’s</w:t>
            </w:r>
          </w:p>
        </w:tc>
        <w:tc>
          <w:tcPr>
            <w:tcW w:w="4185" w:type="dxa"/>
          </w:tcPr>
          <w:p w14:paraId="6C72141F" w14:textId="77777777" w:rsidR="00217B89" w:rsidRPr="009A4292" w:rsidRDefault="00217B89" w:rsidP="009A4292">
            <w:pPr>
              <w:jc w:val="center"/>
              <w:rPr>
                <w:b/>
              </w:rPr>
            </w:pPr>
            <w:r w:rsidRPr="009A4292">
              <w:rPr>
                <w:b/>
              </w:rPr>
              <w:t>Con’s</w:t>
            </w:r>
          </w:p>
        </w:tc>
      </w:tr>
      <w:tr w:rsidR="00217B89" w14:paraId="560643B0" w14:textId="77777777" w:rsidTr="008706EF">
        <w:tc>
          <w:tcPr>
            <w:tcW w:w="4185" w:type="dxa"/>
          </w:tcPr>
          <w:p w14:paraId="55507A89" w14:textId="77777777" w:rsidR="00217B89" w:rsidRPr="00215FF8" w:rsidRDefault="00217B89" w:rsidP="009A4292">
            <w:r>
              <w:t>Requires bankers to engage with Ecology early in the process</w:t>
            </w:r>
          </w:p>
        </w:tc>
        <w:tc>
          <w:tcPr>
            <w:tcW w:w="4185" w:type="dxa"/>
          </w:tcPr>
          <w:p w14:paraId="0B79AD9E" w14:textId="77777777" w:rsidR="00BD2FD5" w:rsidRDefault="00085B64" w:rsidP="009A4292">
            <w:r>
              <w:t>Accepting and reviewing a prospectus may give the false expectation that Ecology would immediately begin working on establishing the bank</w:t>
            </w:r>
          </w:p>
        </w:tc>
      </w:tr>
      <w:tr w:rsidR="00217B89" w14:paraId="4530678A" w14:textId="77777777" w:rsidTr="008706EF">
        <w:tc>
          <w:tcPr>
            <w:tcW w:w="4185" w:type="dxa"/>
          </w:tcPr>
          <w:p w14:paraId="495FA71B" w14:textId="77777777" w:rsidR="00217B89" w:rsidRDefault="00217B89" w:rsidP="009A4292">
            <w:r>
              <w:t>Provides transparency to the public on a water bank’s plan</w:t>
            </w:r>
          </w:p>
        </w:tc>
        <w:tc>
          <w:tcPr>
            <w:tcW w:w="4185" w:type="dxa"/>
          </w:tcPr>
          <w:p w14:paraId="759A8D6C" w14:textId="77777777" w:rsidR="00085B64" w:rsidRDefault="00085B64" w:rsidP="009A4292"/>
        </w:tc>
      </w:tr>
      <w:tr w:rsidR="00BD2FD5" w14:paraId="1CB96D66" w14:textId="77777777" w:rsidTr="008706EF">
        <w:tc>
          <w:tcPr>
            <w:tcW w:w="4185" w:type="dxa"/>
          </w:tcPr>
          <w:p w14:paraId="6D00E3FC" w14:textId="77777777" w:rsidR="00BD2FD5" w:rsidRDefault="00BD2FD5" w:rsidP="009A4292">
            <w:r>
              <w:t>Public comment could inform the terms and conditions of the water banking agreement</w:t>
            </w:r>
          </w:p>
        </w:tc>
        <w:tc>
          <w:tcPr>
            <w:tcW w:w="4185" w:type="dxa"/>
          </w:tcPr>
          <w:p w14:paraId="563725FE" w14:textId="77777777" w:rsidR="00BD2FD5" w:rsidRDefault="00BD2FD5" w:rsidP="009A4292"/>
        </w:tc>
      </w:tr>
    </w:tbl>
    <w:p w14:paraId="62616CF7" w14:textId="77777777" w:rsidR="009A4292" w:rsidRDefault="006E1ABF" w:rsidP="00D22B28">
      <w:pPr>
        <w:pStyle w:val="ListParagraph"/>
        <w:numPr>
          <w:ilvl w:val="0"/>
          <w:numId w:val="23"/>
        </w:numPr>
        <w:spacing w:before="240" w:after="120"/>
        <w:ind w:left="1080" w:hanging="720"/>
        <w:contextualSpacing w:val="0"/>
      </w:pPr>
      <w:r>
        <w:t>Authorize</w:t>
      </w:r>
      <w:r w:rsidR="009A4292">
        <w:t xml:space="preserve"> Ecology to recover the administrative costs of </w:t>
      </w:r>
      <w:r w:rsidR="0099624D">
        <w:t xml:space="preserve">developing </w:t>
      </w:r>
      <w:r w:rsidR="009A4292">
        <w:t>water banks</w:t>
      </w:r>
      <w:r w:rsidR="00644B3F">
        <w:t>.</w:t>
      </w:r>
    </w:p>
    <w:tbl>
      <w:tblPr>
        <w:tblStyle w:val="TableGrid"/>
        <w:tblW w:w="8370" w:type="dxa"/>
        <w:tblInd w:w="1075" w:type="dxa"/>
        <w:tblLook w:val="04A0" w:firstRow="1" w:lastRow="0" w:firstColumn="1" w:lastColumn="0" w:noHBand="0" w:noVBand="1"/>
      </w:tblPr>
      <w:tblGrid>
        <w:gridCol w:w="4185"/>
        <w:gridCol w:w="4185"/>
      </w:tblGrid>
      <w:tr w:rsidR="005262DF" w:rsidRPr="003150D0" w14:paraId="22BDA269" w14:textId="77777777" w:rsidTr="008706EF">
        <w:tc>
          <w:tcPr>
            <w:tcW w:w="8370" w:type="dxa"/>
            <w:gridSpan w:val="2"/>
          </w:tcPr>
          <w:p w14:paraId="4E9E1CA4" w14:textId="5FEA1AA0" w:rsidR="005262DF" w:rsidRPr="00644B3F" w:rsidRDefault="005262DF" w:rsidP="000534D8">
            <w:r>
              <w:rPr>
                <w:b/>
              </w:rPr>
              <w:t xml:space="preserve">Objective: </w:t>
            </w:r>
            <w:r w:rsidR="00644B3F">
              <w:t xml:space="preserve">Minimizes the public resources that are spent towards an activity that </w:t>
            </w:r>
            <w:r w:rsidR="00CF6AF8">
              <w:t>could mostly yield private gain</w:t>
            </w:r>
          </w:p>
        </w:tc>
      </w:tr>
      <w:tr w:rsidR="005262DF" w:rsidRPr="00EA79F6" w14:paraId="26B36B06" w14:textId="77777777" w:rsidTr="008706EF">
        <w:tc>
          <w:tcPr>
            <w:tcW w:w="4185" w:type="dxa"/>
          </w:tcPr>
          <w:p w14:paraId="600C6006" w14:textId="77777777" w:rsidR="005262DF" w:rsidRPr="00EA79F6" w:rsidRDefault="005262DF" w:rsidP="00F31E9E">
            <w:pPr>
              <w:ind w:hanging="720"/>
              <w:jc w:val="center"/>
              <w:rPr>
                <w:b/>
              </w:rPr>
            </w:pPr>
            <w:r w:rsidRPr="00EA79F6">
              <w:rPr>
                <w:b/>
              </w:rPr>
              <w:t>Pro’s</w:t>
            </w:r>
          </w:p>
        </w:tc>
        <w:tc>
          <w:tcPr>
            <w:tcW w:w="4185" w:type="dxa"/>
          </w:tcPr>
          <w:p w14:paraId="55CCA3C4" w14:textId="77777777" w:rsidR="005262DF" w:rsidRPr="00EA79F6" w:rsidRDefault="005262DF" w:rsidP="00F31E9E">
            <w:pPr>
              <w:ind w:hanging="720"/>
              <w:jc w:val="center"/>
              <w:rPr>
                <w:b/>
              </w:rPr>
            </w:pPr>
            <w:r w:rsidRPr="00EA79F6">
              <w:rPr>
                <w:b/>
              </w:rPr>
              <w:t>Con’s</w:t>
            </w:r>
          </w:p>
        </w:tc>
      </w:tr>
      <w:tr w:rsidR="005262DF" w14:paraId="474F063B" w14:textId="77777777" w:rsidTr="008706EF">
        <w:tc>
          <w:tcPr>
            <w:tcW w:w="4185" w:type="dxa"/>
          </w:tcPr>
          <w:p w14:paraId="4C1D9055" w14:textId="77777777" w:rsidR="005262DF" w:rsidRPr="00D46281" w:rsidRDefault="005262DF" w:rsidP="00F31E9E">
            <w:pPr>
              <w:ind w:left="720" w:hanging="720"/>
            </w:pPr>
            <w:r w:rsidRPr="00D46281">
              <w:t>User pays</w:t>
            </w:r>
            <w:r w:rsidR="0099624D" w:rsidRPr="00D46281">
              <w:t xml:space="preserve">; </w:t>
            </w:r>
            <w:r w:rsidR="0094169B" w:rsidRPr="00D46281">
              <w:t xml:space="preserve">the </w:t>
            </w:r>
            <w:r w:rsidR="0099624D" w:rsidRPr="00D46281">
              <w:t>burden is</w:t>
            </w:r>
            <w:r w:rsidRPr="00D46281">
              <w:t xml:space="preserve"> on the banker</w:t>
            </w:r>
          </w:p>
        </w:tc>
        <w:tc>
          <w:tcPr>
            <w:tcW w:w="4185" w:type="dxa"/>
          </w:tcPr>
          <w:p w14:paraId="2536EDD7" w14:textId="77777777" w:rsidR="005262DF" w:rsidRPr="00D46281" w:rsidRDefault="009F4FED" w:rsidP="00F31E9E">
            <w:r w:rsidRPr="00D46281">
              <w:t xml:space="preserve">Rulemaking may be needed to establish the cost and </w:t>
            </w:r>
            <w:r w:rsidR="00B07075" w:rsidRPr="00D46281">
              <w:t xml:space="preserve">administrative </w:t>
            </w:r>
            <w:r w:rsidRPr="00D46281">
              <w:t>process</w:t>
            </w:r>
          </w:p>
        </w:tc>
      </w:tr>
      <w:tr w:rsidR="005262DF" w14:paraId="01AA9EFA" w14:textId="77777777" w:rsidTr="008706EF">
        <w:tc>
          <w:tcPr>
            <w:tcW w:w="4185" w:type="dxa"/>
          </w:tcPr>
          <w:p w14:paraId="3DAED6F5" w14:textId="77777777" w:rsidR="005262DF" w:rsidRDefault="005262DF" w:rsidP="00F31E9E">
            <w:r>
              <w:t>Additional resources for ECY to help with permitting</w:t>
            </w:r>
          </w:p>
        </w:tc>
        <w:tc>
          <w:tcPr>
            <w:tcW w:w="4185" w:type="dxa"/>
          </w:tcPr>
          <w:p w14:paraId="77794074" w14:textId="77777777" w:rsidR="005262DF" w:rsidRDefault="005262DF" w:rsidP="00F31E9E"/>
        </w:tc>
      </w:tr>
    </w:tbl>
    <w:p w14:paraId="13F61EA2" w14:textId="1A4C526E" w:rsidR="009A4292" w:rsidRDefault="00644B3F" w:rsidP="00D22B28">
      <w:pPr>
        <w:pStyle w:val="ListParagraph"/>
        <w:numPr>
          <w:ilvl w:val="0"/>
          <w:numId w:val="23"/>
        </w:numPr>
        <w:spacing w:before="240" w:after="120"/>
        <w:ind w:left="1080" w:hanging="720"/>
        <w:contextualSpacing w:val="0"/>
      </w:pPr>
      <w:r>
        <w:t>Amend chapter 90.42 RCW to establish that water banks must define their service area and then have a “duty to serve” within that area.</w:t>
      </w:r>
      <w:r w:rsidR="00CF6AF8">
        <w:rPr>
          <w:rStyle w:val="FootnoteReference"/>
        </w:rPr>
        <w:footnoteReference w:id="4"/>
      </w:r>
    </w:p>
    <w:tbl>
      <w:tblPr>
        <w:tblStyle w:val="TableGrid"/>
        <w:tblW w:w="8370" w:type="dxa"/>
        <w:tblInd w:w="1075" w:type="dxa"/>
        <w:tblLook w:val="04A0" w:firstRow="1" w:lastRow="0" w:firstColumn="1" w:lastColumn="0" w:noHBand="0" w:noVBand="1"/>
      </w:tblPr>
      <w:tblGrid>
        <w:gridCol w:w="4185"/>
        <w:gridCol w:w="4185"/>
      </w:tblGrid>
      <w:tr w:rsidR="00644B3F" w:rsidRPr="009A4292" w14:paraId="3AB921AA" w14:textId="77777777" w:rsidTr="008706EF">
        <w:tc>
          <w:tcPr>
            <w:tcW w:w="8370" w:type="dxa"/>
            <w:gridSpan w:val="2"/>
          </w:tcPr>
          <w:p w14:paraId="6401F8F8" w14:textId="77777777" w:rsidR="00644B3F" w:rsidRPr="009A4292" w:rsidRDefault="00644B3F" w:rsidP="00644B3F">
            <w:pPr>
              <w:rPr>
                <w:b/>
              </w:rPr>
            </w:pPr>
            <w:r w:rsidRPr="009A4292">
              <w:rPr>
                <w:b/>
              </w:rPr>
              <w:t xml:space="preserve">Objective: </w:t>
            </w:r>
            <w:r>
              <w:t>Prevent price discrimination</w:t>
            </w:r>
          </w:p>
        </w:tc>
      </w:tr>
      <w:tr w:rsidR="00644B3F" w:rsidRPr="009A4292" w14:paraId="58C541E8" w14:textId="77777777" w:rsidTr="008706EF">
        <w:tc>
          <w:tcPr>
            <w:tcW w:w="4185" w:type="dxa"/>
          </w:tcPr>
          <w:p w14:paraId="6B4D5790" w14:textId="77777777" w:rsidR="00644B3F" w:rsidRPr="009A4292" w:rsidRDefault="00644B3F" w:rsidP="006B7696">
            <w:pPr>
              <w:jc w:val="center"/>
              <w:rPr>
                <w:b/>
              </w:rPr>
            </w:pPr>
            <w:r w:rsidRPr="009A4292">
              <w:rPr>
                <w:b/>
              </w:rPr>
              <w:t>Pro’s</w:t>
            </w:r>
          </w:p>
        </w:tc>
        <w:tc>
          <w:tcPr>
            <w:tcW w:w="4185" w:type="dxa"/>
          </w:tcPr>
          <w:p w14:paraId="1125233B" w14:textId="77777777" w:rsidR="00644B3F" w:rsidRPr="009A4292" w:rsidRDefault="00644B3F" w:rsidP="006B7696">
            <w:pPr>
              <w:jc w:val="center"/>
              <w:rPr>
                <w:b/>
              </w:rPr>
            </w:pPr>
            <w:r w:rsidRPr="009A4292">
              <w:rPr>
                <w:b/>
              </w:rPr>
              <w:t>Con’s</w:t>
            </w:r>
          </w:p>
        </w:tc>
      </w:tr>
      <w:tr w:rsidR="00644B3F" w14:paraId="6C908D26" w14:textId="77777777" w:rsidTr="008706EF">
        <w:tc>
          <w:tcPr>
            <w:tcW w:w="4185" w:type="dxa"/>
          </w:tcPr>
          <w:p w14:paraId="227E5952" w14:textId="76BAA8C3" w:rsidR="00644B3F" w:rsidRPr="00215FF8" w:rsidRDefault="00644B3F" w:rsidP="006B7696">
            <w:r>
              <w:t>Ensures that a customer is not denied service or charged a differe</w:t>
            </w:r>
            <w:r w:rsidR="00CF6AF8">
              <w:t>nt rate based upon who they are</w:t>
            </w:r>
          </w:p>
        </w:tc>
        <w:tc>
          <w:tcPr>
            <w:tcW w:w="4185" w:type="dxa"/>
          </w:tcPr>
          <w:p w14:paraId="643551D0" w14:textId="77777777" w:rsidR="00644B3F" w:rsidRDefault="00644B3F" w:rsidP="006B7696">
            <w:r>
              <w:t>Places an additional restriction and limitation on water banks</w:t>
            </w:r>
          </w:p>
        </w:tc>
      </w:tr>
      <w:tr w:rsidR="00247AB7" w14:paraId="06B3A7E0" w14:textId="77777777" w:rsidTr="008706EF">
        <w:tc>
          <w:tcPr>
            <w:tcW w:w="4185" w:type="dxa"/>
          </w:tcPr>
          <w:p w14:paraId="0083DCED" w14:textId="77777777" w:rsidR="00247AB7" w:rsidRDefault="00247AB7" w:rsidP="006B7696">
            <w:r w:rsidRPr="00D46281">
              <w:t>Could decrease the number of banks established to serve the same customers</w:t>
            </w:r>
          </w:p>
        </w:tc>
        <w:tc>
          <w:tcPr>
            <w:tcW w:w="4185" w:type="dxa"/>
          </w:tcPr>
          <w:p w14:paraId="5DBF15C9" w14:textId="79E01473" w:rsidR="00247AB7" w:rsidRDefault="00247AB7" w:rsidP="006B7696"/>
        </w:tc>
      </w:tr>
    </w:tbl>
    <w:p w14:paraId="57BAEC60" w14:textId="77777777" w:rsidR="00644B3F" w:rsidRDefault="00644B3F" w:rsidP="00D22B28">
      <w:pPr>
        <w:pStyle w:val="ListParagraph"/>
        <w:numPr>
          <w:ilvl w:val="0"/>
          <w:numId w:val="23"/>
        </w:numPr>
        <w:spacing w:before="240" w:after="120"/>
        <w:ind w:left="1080" w:hanging="720"/>
        <w:contextualSpacing w:val="0"/>
      </w:pPr>
      <w:r>
        <w:t xml:space="preserve">Amend chapter 90.42 RCW to establish that Ecology may prioritize working on water banks serving the greatest public need (such as public health </w:t>
      </w:r>
      <w:r w:rsidR="000348B4">
        <w:t>and</w:t>
      </w:r>
      <w:r>
        <w:t xml:space="preserve"> safety or creating a new water source in a basin).</w:t>
      </w:r>
    </w:p>
    <w:tbl>
      <w:tblPr>
        <w:tblStyle w:val="TableGrid"/>
        <w:tblW w:w="8370" w:type="dxa"/>
        <w:tblInd w:w="1075" w:type="dxa"/>
        <w:tblLook w:val="04A0" w:firstRow="1" w:lastRow="0" w:firstColumn="1" w:lastColumn="0" w:noHBand="0" w:noVBand="1"/>
      </w:tblPr>
      <w:tblGrid>
        <w:gridCol w:w="4185"/>
        <w:gridCol w:w="4185"/>
      </w:tblGrid>
      <w:tr w:rsidR="00644B3F" w:rsidRPr="009A4292" w14:paraId="7575B054" w14:textId="77777777" w:rsidTr="008706EF">
        <w:tc>
          <w:tcPr>
            <w:tcW w:w="8370" w:type="dxa"/>
            <w:gridSpan w:val="2"/>
          </w:tcPr>
          <w:p w14:paraId="390AFC16" w14:textId="77777777" w:rsidR="00644B3F" w:rsidRPr="009A4292" w:rsidRDefault="00644B3F" w:rsidP="00644B3F">
            <w:pPr>
              <w:rPr>
                <w:b/>
              </w:rPr>
            </w:pPr>
            <w:r w:rsidRPr="009A4292">
              <w:rPr>
                <w:b/>
              </w:rPr>
              <w:t xml:space="preserve">Objective: </w:t>
            </w:r>
            <w:r>
              <w:t>Dedicate state resources to banks that will have the greatest impact</w:t>
            </w:r>
          </w:p>
        </w:tc>
      </w:tr>
      <w:tr w:rsidR="00644B3F" w:rsidRPr="009A4292" w14:paraId="61069872" w14:textId="77777777" w:rsidTr="008706EF">
        <w:tc>
          <w:tcPr>
            <w:tcW w:w="4185" w:type="dxa"/>
          </w:tcPr>
          <w:p w14:paraId="3EFA8CA3" w14:textId="77777777" w:rsidR="00644B3F" w:rsidRPr="009A4292" w:rsidRDefault="00644B3F" w:rsidP="006B7696">
            <w:pPr>
              <w:jc w:val="center"/>
              <w:rPr>
                <w:b/>
              </w:rPr>
            </w:pPr>
            <w:r w:rsidRPr="009A4292">
              <w:rPr>
                <w:b/>
              </w:rPr>
              <w:t>Pro’s</w:t>
            </w:r>
          </w:p>
        </w:tc>
        <w:tc>
          <w:tcPr>
            <w:tcW w:w="4185" w:type="dxa"/>
          </w:tcPr>
          <w:p w14:paraId="2CF22873" w14:textId="77777777" w:rsidR="00644B3F" w:rsidRPr="009A4292" w:rsidRDefault="00644B3F" w:rsidP="006B7696">
            <w:pPr>
              <w:jc w:val="center"/>
              <w:rPr>
                <w:b/>
              </w:rPr>
            </w:pPr>
            <w:r w:rsidRPr="009A4292">
              <w:rPr>
                <w:b/>
              </w:rPr>
              <w:t>Con’s</w:t>
            </w:r>
          </w:p>
        </w:tc>
      </w:tr>
      <w:tr w:rsidR="00644B3F" w14:paraId="541A21B2" w14:textId="77777777" w:rsidTr="008706EF">
        <w:tc>
          <w:tcPr>
            <w:tcW w:w="4185" w:type="dxa"/>
          </w:tcPr>
          <w:p w14:paraId="551330FE" w14:textId="77777777" w:rsidR="00644B3F" w:rsidRPr="00215FF8" w:rsidRDefault="00320454" w:rsidP="0094169B">
            <w:r>
              <w:t xml:space="preserve">Allows Ecology to spend resources where </w:t>
            </w:r>
            <w:r w:rsidR="0094169B">
              <w:t>the bank</w:t>
            </w:r>
            <w:r>
              <w:t xml:space="preserve"> will yield the most benefit</w:t>
            </w:r>
          </w:p>
        </w:tc>
        <w:tc>
          <w:tcPr>
            <w:tcW w:w="4185" w:type="dxa"/>
          </w:tcPr>
          <w:p w14:paraId="5C4B6979" w14:textId="77777777" w:rsidR="00644B3F" w:rsidRDefault="00644B3F" w:rsidP="006B7696">
            <w:r>
              <w:t>Could be seen as picking “winners and losers</w:t>
            </w:r>
            <w:r w:rsidR="0094169B">
              <w:t>.”</w:t>
            </w:r>
            <w:r>
              <w:t xml:space="preserve"> If Ecology deprioritizes an </w:t>
            </w:r>
            <w:r>
              <w:lastRenderedPageBreak/>
              <w:t>application, it may be years before we process it</w:t>
            </w:r>
          </w:p>
        </w:tc>
      </w:tr>
      <w:tr w:rsidR="00644B3F" w14:paraId="24070205" w14:textId="77777777" w:rsidTr="008706EF">
        <w:tc>
          <w:tcPr>
            <w:tcW w:w="4185" w:type="dxa"/>
          </w:tcPr>
          <w:p w14:paraId="098B823C" w14:textId="77777777" w:rsidR="00644B3F" w:rsidRDefault="00644B3F" w:rsidP="006B7696"/>
        </w:tc>
        <w:tc>
          <w:tcPr>
            <w:tcW w:w="4185" w:type="dxa"/>
          </w:tcPr>
          <w:p w14:paraId="480FDFBC" w14:textId="77777777" w:rsidR="00644B3F" w:rsidRDefault="00320454" w:rsidP="0094169B">
            <w:r>
              <w:t xml:space="preserve">Unclear that new statutory authority </w:t>
            </w:r>
            <w:r w:rsidR="0094169B">
              <w:t xml:space="preserve">is needed </w:t>
            </w:r>
            <w:r>
              <w:t>to pursue this</w:t>
            </w:r>
          </w:p>
        </w:tc>
      </w:tr>
    </w:tbl>
    <w:p w14:paraId="651544BD" w14:textId="77777777" w:rsidR="00030756" w:rsidRDefault="00644B3F" w:rsidP="00D22B28">
      <w:pPr>
        <w:pStyle w:val="ListParagraph"/>
        <w:numPr>
          <w:ilvl w:val="0"/>
          <w:numId w:val="23"/>
        </w:numPr>
        <w:spacing w:before="240" w:after="120"/>
        <w:ind w:left="1080" w:hanging="720"/>
        <w:contextualSpacing w:val="0"/>
      </w:pPr>
      <w:r>
        <w:t xml:space="preserve">In rulemaking, </w:t>
      </w:r>
      <w:r w:rsidR="00024DAF">
        <w:t>clari</w:t>
      </w:r>
      <w:r w:rsidR="001630CD">
        <w:t>f</w:t>
      </w:r>
      <w:r w:rsidR="00024DAF">
        <w:t xml:space="preserve">y </w:t>
      </w:r>
      <w:r>
        <w:t xml:space="preserve">Ecology’s </w:t>
      </w:r>
      <w:r w:rsidR="00030756">
        <w:t>authority</w:t>
      </w:r>
      <w:r w:rsidR="00085B64">
        <w:t xml:space="preserve"> </w:t>
      </w:r>
      <w:r w:rsidR="00AB6C19">
        <w:t>to provision certain water bank activities, such as specifying a duty to serve or requiring that a portion of water remain instream, in water banking agreements and trust water right agreements. Use these provisions</w:t>
      </w:r>
      <w:r w:rsidR="00085B64">
        <w:t xml:space="preserve"> to shift risk away from the state and mitigation user and onto the person providing the mitigation right.</w:t>
      </w:r>
    </w:p>
    <w:tbl>
      <w:tblPr>
        <w:tblStyle w:val="TableGrid"/>
        <w:tblW w:w="8370" w:type="dxa"/>
        <w:tblInd w:w="1075" w:type="dxa"/>
        <w:tblLook w:val="04A0" w:firstRow="1" w:lastRow="0" w:firstColumn="1" w:lastColumn="0" w:noHBand="0" w:noVBand="1"/>
      </w:tblPr>
      <w:tblGrid>
        <w:gridCol w:w="4185"/>
        <w:gridCol w:w="4185"/>
      </w:tblGrid>
      <w:tr w:rsidR="000348B4" w:rsidRPr="00EA79F6" w14:paraId="66EFED37" w14:textId="77777777" w:rsidTr="008706EF">
        <w:tc>
          <w:tcPr>
            <w:tcW w:w="8370" w:type="dxa"/>
            <w:gridSpan w:val="2"/>
          </w:tcPr>
          <w:p w14:paraId="7BFAFE05" w14:textId="77777777" w:rsidR="000348B4" w:rsidRPr="003351DF" w:rsidRDefault="000348B4" w:rsidP="000534D8">
            <w:pPr>
              <w:ind w:left="720" w:hanging="720"/>
            </w:pPr>
            <w:r>
              <w:rPr>
                <w:b/>
              </w:rPr>
              <w:t>Objective:</w:t>
            </w:r>
            <w:r w:rsidR="003351DF">
              <w:rPr>
                <w:b/>
              </w:rPr>
              <w:t xml:space="preserve"> </w:t>
            </w:r>
            <w:r w:rsidR="003351DF">
              <w:t>Provide greater consumer protections in banking agreements</w:t>
            </w:r>
          </w:p>
        </w:tc>
      </w:tr>
      <w:tr w:rsidR="000348B4" w:rsidRPr="00EA79F6" w14:paraId="4C048E95" w14:textId="77777777" w:rsidTr="008706EF">
        <w:tc>
          <w:tcPr>
            <w:tcW w:w="4185" w:type="dxa"/>
          </w:tcPr>
          <w:p w14:paraId="1D6C4A4C" w14:textId="77777777" w:rsidR="000348B4" w:rsidRPr="00EA79F6" w:rsidRDefault="000348B4" w:rsidP="00F31E9E">
            <w:pPr>
              <w:ind w:hanging="720"/>
              <w:jc w:val="center"/>
              <w:rPr>
                <w:b/>
              </w:rPr>
            </w:pPr>
            <w:r w:rsidRPr="00EA79F6">
              <w:rPr>
                <w:b/>
              </w:rPr>
              <w:t>Pro’s</w:t>
            </w:r>
          </w:p>
        </w:tc>
        <w:tc>
          <w:tcPr>
            <w:tcW w:w="4185" w:type="dxa"/>
          </w:tcPr>
          <w:p w14:paraId="5E6B0DFD" w14:textId="77777777" w:rsidR="000348B4" w:rsidRPr="00EA79F6" w:rsidRDefault="000348B4" w:rsidP="00F31E9E">
            <w:pPr>
              <w:ind w:hanging="720"/>
              <w:jc w:val="center"/>
              <w:rPr>
                <w:b/>
              </w:rPr>
            </w:pPr>
            <w:r w:rsidRPr="00EA79F6">
              <w:rPr>
                <w:b/>
              </w:rPr>
              <w:t>Con’s</w:t>
            </w:r>
          </w:p>
        </w:tc>
      </w:tr>
      <w:tr w:rsidR="000348B4" w14:paraId="36EC3B9C" w14:textId="77777777" w:rsidTr="008706EF">
        <w:tc>
          <w:tcPr>
            <w:tcW w:w="4185" w:type="dxa"/>
          </w:tcPr>
          <w:p w14:paraId="65DEC4A4" w14:textId="204E3D86" w:rsidR="000348B4" w:rsidRPr="00215FF8" w:rsidRDefault="00CF6AF8" w:rsidP="00AB6C19">
            <w:r>
              <w:t>P</w:t>
            </w:r>
            <w:r w:rsidR="00130C0A">
              <w:t>rovide</w:t>
            </w:r>
            <w:r>
              <w:t>s</w:t>
            </w:r>
            <w:r w:rsidR="00130C0A">
              <w:t xml:space="preserve"> clear authority </w:t>
            </w:r>
            <w:r>
              <w:t>for more specific provisions in</w:t>
            </w:r>
            <w:r w:rsidR="00130C0A">
              <w:t xml:space="preserve"> water banking agreements that address level of</w:t>
            </w:r>
            <w:r w:rsidR="003351DF">
              <w:t xml:space="preserve"> service and operational issues</w:t>
            </w:r>
          </w:p>
        </w:tc>
        <w:tc>
          <w:tcPr>
            <w:tcW w:w="4185" w:type="dxa"/>
          </w:tcPr>
          <w:p w14:paraId="2E2AB19A" w14:textId="77777777" w:rsidR="000348B4" w:rsidRDefault="00651FF6" w:rsidP="00F31E9E">
            <w:r>
              <w:t xml:space="preserve">Oversight of these provisions would require </w:t>
            </w:r>
            <w:r w:rsidR="00085B64">
              <w:t>additional resources at Ecology</w:t>
            </w:r>
          </w:p>
        </w:tc>
      </w:tr>
      <w:tr w:rsidR="00A77B05" w14:paraId="7AA9DBC1" w14:textId="77777777" w:rsidTr="008706EF">
        <w:tc>
          <w:tcPr>
            <w:tcW w:w="4185" w:type="dxa"/>
          </w:tcPr>
          <w:p w14:paraId="1FB7A145" w14:textId="77777777" w:rsidR="00A77B05" w:rsidRDefault="00A77B05" w:rsidP="00F31E9E">
            <w:r>
              <w:t>Provides a way to address unique issues in each water bank development with lower legal risk of being arbitrary and capricious</w:t>
            </w:r>
          </w:p>
        </w:tc>
        <w:tc>
          <w:tcPr>
            <w:tcW w:w="4185" w:type="dxa"/>
          </w:tcPr>
          <w:p w14:paraId="62B2A67C" w14:textId="77777777" w:rsidR="00A77B05" w:rsidRDefault="00A77B05" w:rsidP="00F31E9E">
            <w:r>
              <w:t>Rulemaking is costly and time consuming for the agency</w:t>
            </w:r>
          </w:p>
        </w:tc>
      </w:tr>
      <w:tr w:rsidR="00A77B05" w14:paraId="78FF1750" w14:textId="77777777" w:rsidTr="008706EF">
        <w:tc>
          <w:tcPr>
            <w:tcW w:w="4185" w:type="dxa"/>
          </w:tcPr>
          <w:p w14:paraId="61606CDA" w14:textId="77777777" w:rsidR="00A77B05" w:rsidRDefault="00A77B05" w:rsidP="00F31E9E"/>
        </w:tc>
        <w:tc>
          <w:tcPr>
            <w:tcW w:w="4185" w:type="dxa"/>
          </w:tcPr>
          <w:p w14:paraId="4B3CDD35" w14:textId="77777777" w:rsidR="00A77B05" w:rsidRDefault="00A77B05" w:rsidP="00F31E9E">
            <w:r>
              <w:t>With other rulemaking priorities, it is unclear when Ecology will have resources to undertake this rulemaking in the near term</w:t>
            </w:r>
          </w:p>
        </w:tc>
      </w:tr>
    </w:tbl>
    <w:p w14:paraId="23ACD518" w14:textId="77777777" w:rsidR="006E1ABF" w:rsidRDefault="006E1ABF" w:rsidP="00D22B28">
      <w:pPr>
        <w:pStyle w:val="ListParagraph"/>
        <w:numPr>
          <w:ilvl w:val="0"/>
          <w:numId w:val="23"/>
        </w:numPr>
        <w:spacing w:before="240" w:after="120"/>
        <w:ind w:left="1080" w:hanging="720"/>
        <w:contextualSpacing w:val="0"/>
      </w:pPr>
      <w:r>
        <w:t>Require that draft water banking agreements are posted for public comment before finalized. [Note, Ecology could pursue this under current authorities.</w:t>
      </w:r>
      <w:r w:rsidR="00AB6C19">
        <w:t>]</w:t>
      </w:r>
    </w:p>
    <w:tbl>
      <w:tblPr>
        <w:tblStyle w:val="TableGrid"/>
        <w:tblW w:w="8370" w:type="dxa"/>
        <w:tblInd w:w="1075" w:type="dxa"/>
        <w:tblLook w:val="04A0" w:firstRow="1" w:lastRow="0" w:firstColumn="1" w:lastColumn="0" w:noHBand="0" w:noVBand="1"/>
      </w:tblPr>
      <w:tblGrid>
        <w:gridCol w:w="4185"/>
        <w:gridCol w:w="4185"/>
      </w:tblGrid>
      <w:tr w:rsidR="006E1ABF" w:rsidRPr="00EA79F6" w14:paraId="63F6D4EB" w14:textId="77777777" w:rsidTr="006B7696">
        <w:tc>
          <w:tcPr>
            <w:tcW w:w="8370" w:type="dxa"/>
            <w:gridSpan w:val="2"/>
          </w:tcPr>
          <w:p w14:paraId="3877B8BC" w14:textId="77777777" w:rsidR="006E1ABF" w:rsidRPr="003150D0" w:rsidRDefault="006E1ABF" w:rsidP="00AB6C19">
            <w:r>
              <w:rPr>
                <w:b/>
              </w:rPr>
              <w:t xml:space="preserve">Objective: </w:t>
            </w:r>
            <w:r>
              <w:t>Increase transparency and opportunity for public comment</w:t>
            </w:r>
          </w:p>
        </w:tc>
      </w:tr>
      <w:tr w:rsidR="006E1ABF" w:rsidRPr="00EA79F6" w14:paraId="4CB96158" w14:textId="77777777" w:rsidTr="006B7696">
        <w:tc>
          <w:tcPr>
            <w:tcW w:w="4185" w:type="dxa"/>
          </w:tcPr>
          <w:p w14:paraId="0F53264C" w14:textId="77777777" w:rsidR="006E1ABF" w:rsidRPr="00EA79F6" w:rsidRDefault="006E1ABF" w:rsidP="00AB6C19">
            <w:pPr>
              <w:jc w:val="center"/>
              <w:rPr>
                <w:b/>
              </w:rPr>
            </w:pPr>
            <w:r w:rsidRPr="00EA79F6">
              <w:rPr>
                <w:b/>
              </w:rPr>
              <w:t>Pro’s</w:t>
            </w:r>
          </w:p>
        </w:tc>
        <w:tc>
          <w:tcPr>
            <w:tcW w:w="4185" w:type="dxa"/>
          </w:tcPr>
          <w:p w14:paraId="03F0ECCF" w14:textId="77777777" w:rsidR="006E1ABF" w:rsidRPr="00EA79F6" w:rsidRDefault="006E1ABF" w:rsidP="00AB6C19">
            <w:pPr>
              <w:jc w:val="center"/>
              <w:rPr>
                <w:b/>
              </w:rPr>
            </w:pPr>
            <w:r w:rsidRPr="00EA79F6">
              <w:rPr>
                <w:b/>
              </w:rPr>
              <w:t>Con’s</w:t>
            </w:r>
          </w:p>
        </w:tc>
      </w:tr>
      <w:tr w:rsidR="006E1ABF" w14:paraId="2CA1D6BE" w14:textId="77777777" w:rsidTr="006B7696">
        <w:tc>
          <w:tcPr>
            <w:tcW w:w="4185" w:type="dxa"/>
          </w:tcPr>
          <w:p w14:paraId="7ED843E2" w14:textId="77777777" w:rsidR="006E1ABF" w:rsidRPr="00215FF8" w:rsidRDefault="006E1ABF" w:rsidP="00AB6C19">
            <w:r>
              <w:t>Increased transparency</w:t>
            </w:r>
          </w:p>
        </w:tc>
        <w:tc>
          <w:tcPr>
            <w:tcW w:w="4185" w:type="dxa"/>
          </w:tcPr>
          <w:p w14:paraId="49B129EA" w14:textId="77777777" w:rsidR="006E1ABF" w:rsidRDefault="006E1ABF" w:rsidP="00AB6C19">
            <w:r>
              <w:t>Will lengthen the time it takes to develop water banking agreements</w:t>
            </w:r>
          </w:p>
        </w:tc>
      </w:tr>
      <w:tr w:rsidR="006E1ABF" w14:paraId="4AFFA57E" w14:textId="77777777" w:rsidTr="006B7696">
        <w:tc>
          <w:tcPr>
            <w:tcW w:w="4185" w:type="dxa"/>
          </w:tcPr>
          <w:p w14:paraId="57B7FD9B" w14:textId="77777777" w:rsidR="006E1ABF" w:rsidRDefault="006E1ABF" w:rsidP="00AB6C19">
            <w:r>
              <w:t>Give the public greater input on the terms and conditions placed on a water bank</w:t>
            </w:r>
          </w:p>
        </w:tc>
        <w:tc>
          <w:tcPr>
            <w:tcW w:w="4185" w:type="dxa"/>
          </w:tcPr>
          <w:p w14:paraId="48890132" w14:textId="77777777" w:rsidR="006E1ABF" w:rsidRDefault="006E1ABF" w:rsidP="00AB6C19"/>
        </w:tc>
      </w:tr>
    </w:tbl>
    <w:p w14:paraId="2D829585" w14:textId="77777777" w:rsidR="007B577D" w:rsidRPr="00157FBF" w:rsidRDefault="007B577D" w:rsidP="00B30919">
      <w:pPr>
        <w:pStyle w:val="Heading3"/>
      </w:pPr>
      <w:r>
        <w:t>Ideas Not Recommended</w:t>
      </w:r>
    </w:p>
    <w:p w14:paraId="05AEE3FD" w14:textId="77777777" w:rsidR="00644B3F" w:rsidRDefault="00644B3F" w:rsidP="00D22B28">
      <w:pPr>
        <w:pStyle w:val="ListParagraph"/>
        <w:numPr>
          <w:ilvl w:val="0"/>
          <w:numId w:val="27"/>
        </w:numPr>
        <w:spacing w:before="240" w:after="120"/>
        <w:ind w:left="1080" w:hanging="720"/>
        <w:contextualSpacing w:val="0"/>
      </w:pPr>
      <w:r>
        <w:t>In addition to requiring a water banking prospectus: Establish in statute that Ecology may deny a proposal to establish a new water bank.</w:t>
      </w:r>
    </w:p>
    <w:p w14:paraId="216D1E21" w14:textId="77777777" w:rsidR="000A5282" w:rsidRPr="008706EF" w:rsidRDefault="008706EF" w:rsidP="00B30919">
      <w:pPr>
        <w:pStyle w:val="ListParagraph"/>
        <w:spacing w:before="120" w:after="120"/>
        <w:ind w:left="1080"/>
        <w:contextualSpacing w:val="0"/>
      </w:pPr>
      <w:r w:rsidRPr="008706EF">
        <w:rPr>
          <w:u w:val="single"/>
        </w:rPr>
        <w:t>Reasoning:</w:t>
      </w:r>
      <w:r>
        <w:t xml:space="preserve"> There was strong feedback from participants that doing so would be seen as “picking winners and losers”, which participants thought would be inappropriate.</w:t>
      </w:r>
    </w:p>
    <w:sectPr w:rsidR="000A5282" w:rsidRPr="008706EF" w:rsidSect="00127212">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17DC3" w14:textId="77777777" w:rsidR="009B2EE5" w:rsidRDefault="009B2EE5" w:rsidP="003150D0">
      <w:pPr>
        <w:spacing w:after="0" w:line="240" w:lineRule="auto"/>
      </w:pPr>
      <w:r>
        <w:separator/>
      </w:r>
    </w:p>
  </w:endnote>
  <w:endnote w:type="continuationSeparator" w:id="0">
    <w:p w14:paraId="7C00B3E5" w14:textId="77777777" w:rsidR="009B2EE5" w:rsidRDefault="009B2EE5" w:rsidP="003150D0">
      <w:pPr>
        <w:spacing w:after="0" w:line="240" w:lineRule="auto"/>
      </w:pPr>
      <w:r>
        <w:continuationSeparator/>
      </w:r>
    </w:p>
  </w:endnote>
  <w:endnote w:type="continuationNotice" w:id="1">
    <w:p w14:paraId="6FF481C7" w14:textId="77777777" w:rsidR="009B2EE5" w:rsidRDefault="009B2E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1BF0A" w14:textId="77777777" w:rsidR="006B7696" w:rsidRDefault="00127212">
    <w:pPr>
      <w:pStyle w:val="Footer"/>
    </w:pPr>
    <w:r>
      <w:t>DRAFT for Meeting 5</w:t>
    </w:r>
    <w:r>
      <w:ptab w:relativeTo="margin" w:alignment="center" w:leader="none"/>
    </w:r>
    <w:sdt>
      <w:sdtPr>
        <w:id w:val="969400748"/>
        <w:placeholder>
          <w:docPart w:val="8EB124A1BDC94AF887B3EB621B43C0A2"/>
        </w:placeholder>
        <w:temporary/>
        <w:showingPlcHdr/>
        <w15:appearance w15:val="hidden"/>
      </w:sdtPr>
      <w:sdtEndPr/>
      <w:sdtContent>
        <w:r>
          <w:t>[Type here]</w:t>
        </w:r>
      </w:sdtContent>
    </w:sdt>
    <w:r>
      <w:ptab w:relativeTo="margin" w:alignment="right" w:leader="none"/>
    </w:r>
    <w:r>
      <w:fldChar w:fldCharType="begin"/>
    </w:r>
    <w:r>
      <w:instrText xml:space="preserve"> PAGE   \* MERGEFORMAT </w:instrText>
    </w:r>
    <w:r>
      <w:fldChar w:fldCharType="separate"/>
    </w:r>
    <w:r w:rsidR="00CC6198">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08243" w14:textId="77777777" w:rsidR="009B2EE5" w:rsidRDefault="009B2EE5" w:rsidP="003150D0">
      <w:pPr>
        <w:spacing w:after="0" w:line="240" w:lineRule="auto"/>
      </w:pPr>
      <w:r>
        <w:separator/>
      </w:r>
    </w:p>
  </w:footnote>
  <w:footnote w:type="continuationSeparator" w:id="0">
    <w:p w14:paraId="7E731EF7" w14:textId="77777777" w:rsidR="009B2EE5" w:rsidRDefault="009B2EE5" w:rsidP="003150D0">
      <w:pPr>
        <w:spacing w:after="0" w:line="240" w:lineRule="auto"/>
      </w:pPr>
      <w:r>
        <w:continuationSeparator/>
      </w:r>
    </w:p>
  </w:footnote>
  <w:footnote w:type="continuationNotice" w:id="1">
    <w:p w14:paraId="11253E43" w14:textId="77777777" w:rsidR="009B2EE5" w:rsidRDefault="009B2EE5">
      <w:pPr>
        <w:spacing w:after="0" w:line="240" w:lineRule="auto"/>
      </w:pPr>
    </w:p>
  </w:footnote>
  <w:footnote w:id="2">
    <w:p w14:paraId="38B2708A" w14:textId="77777777" w:rsidR="006B7696" w:rsidRDefault="006B7696">
      <w:pPr>
        <w:pStyle w:val="FootnoteText"/>
      </w:pPr>
      <w:r>
        <w:rPr>
          <w:rStyle w:val="FootnoteReference"/>
        </w:rPr>
        <w:footnoteRef/>
      </w:r>
      <w:r>
        <w:t xml:space="preserve"> Note that flexibilities exist under chapter 90.38 RCW for the Yakima Basin that do not apply elsewhere in the state. Ecology is not currently considering any changes to chapter 90.38 RCW.</w:t>
      </w:r>
    </w:p>
  </w:footnote>
  <w:footnote w:id="3">
    <w:p w14:paraId="309426BD" w14:textId="77777777" w:rsidR="006B7696" w:rsidRDefault="006B7696">
      <w:pPr>
        <w:pStyle w:val="FootnoteText"/>
      </w:pPr>
      <w:r>
        <w:rPr>
          <w:rStyle w:val="FootnoteReference"/>
        </w:rPr>
        <w:footnoteRef/>
      </w:r>
      <w:r>
        <w:t xml:space="preserve"> Information such as: intended uses and customers, and the suitability of the mitigating water right to meet those uses.</w:t>
      </w:r>
    </w:p>
  </w:footnote>
  <w:footnote w:id="4">
    <w:p w14:paraId="7B070DD4" w14:textId="2AE47AEB" w:rsidR="00CF6AF8" w:rsidRDefault="00CF6AF8">
      <w:pPr>
        <w:pStyle w:val="FootnoteText"/>
      </w:pPr>
      <w:r>
        <w:rPr>
          <w:rStyle w:val="FootnoteReference"/>
        </w:rPr>
        <w:footnoteRef/>
      </w:r>
      <w:r>
        <w:t xml:space="preserve"> </w:t>
      </w:r>
      <w:r w:rsidRPr="00D46281">
        <w:t>Meaning that the bank could not deny providing mitigation to any customer in their defined service area.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65E8"/>
    <w:multiLevelType w:val="hybridMultilevel"/>
    <w:tmpl w:val="7802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46507"/>
    <w:multiLevelType w:val="hybridMultilevel"/>
    <w:tmpl w:val="EB1C1DF2"/>
    <w:lvl w:ilvl="0" w:tplc="9FE48DD6">
      <w:start w:val="1"/>
      <w:numFmt w:val="decimal"/>
      <w:lvlText w:val="P.4.%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C0118"/>
    <w:multiLevelType w:val="hybridMultilevel"/>
    <w:tmpl w:val="2494CE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67F2A19"/>
    <w:multiLevelType w:val="hybridMultilevel"/>
    <w:tmpl w:val="55924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0F505F"/>
    <w:multiLevelType w:val="hybridMultilevel"/>
    <w:tmpl w:val="591CE248"/>
    <w:lvl w:ilvl="0" w:tplc="9FD2BFD2">
      <w:start w:val="1"/>
      <w:numFmt w:val="decimal"/>
      <w:lvlText w:val="F.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10E45"/>
    <w:multiLevelType w:val="hybridMultilevel"/>
    <w:tmpl w:val="3AD67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A6499"/>
    <w:multiLevelType w:val="multilevel"/>
    <w:tmpl w:val="9A0C53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631D1"/>
    <w:multiLevelType w:val="hybridMultilevel"/>
    <w:tmpl w:val="8F145762"/>
    <w:lvl w:ilvl="0" w:tplc="EC5E68DA">
      <w:start w:val="1"/>
      <w:numFmt w:val="decimal"/>
      <w:lvlText w:val="F.3.%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077A3"/>
    <w:multiLevelType w:val="hybridMultilevel"/>
    <w:tmpl w:val="4C446308"/>
    <w:lvl w:ilvl="0" w:tplc="9FE48DD6">
      <w:start w:val="1"/>
      <w:numFmt w:val="decimal"/>
      <w:lvlText w:val="P.4.%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F674A"/>
    <w:multiLevelType w:val="hybridMultilevel"/>
    <w:tmpl w:val="B28A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7199F"/>
    <w:multiLevelType w:val="hybridMultilevel"/>
    <w:tmpl w:val="F6884AD4"/>
    <w:lvl w:ilvl="0" w:tplc="7BE451EA">
      <w:start w:val="1"/>
      <w:numFmt w:val="decimal"/>
      <w:lvlText w:val="NR.2.%1"/>
      <w:lvlJc w:val="left"/>
      <w:pPr>
        <w:ind w:left="63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551079"/>
    <w:multiLevelType w:val="hybridMultilevel"/>
    <w:tmpl w:val="8F145762"/>
    <w:lvl w:ilvl="0" w:tplc="EC5E68DA">
      <w:start w:val="1"/>
      <w:numFmt w:val="decimal"/>
      <w:lvlText w:val="F.3.%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2760E"/>
    <w:multiLevelType w:val="hybridMultilevel"/>
    <w:tmpl w:val="FED01628"/>
    <w:lvl w:ilvl="0" w:tplc="97D2F0CA">
      <w:start w:val="1"/>
      <w:numFmt w:val="decimal"/>
      <w:lvlText w:val="F.4.%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D43939"/>
    <w:multiLevelType w:val="hybridMultilevel"/>
    <w:tmpl w:val="0F5207C2"/>
    <w:lvl w:ilvl="0" w:tplc="004A7150">
      <w:start w:val="1"/>
      <w:numFmt w:val="decimal"/>
      <w:lvlText w:val="F.2.%1"/>
      <w:lvlJc w:val="left"/>
      <w:pPr>
        <w:ind w:left="630" w:hanging="360"/>
      </w:pPr>
      <w:rPr>
        <w:rFonts w:hint="default"/>
        <w:i w:val="0"/>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364A75CC"/>
    <w:multiLevelType w:val="hybridMultilevel"/>
    <w:tmpl w:val="BEC06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9F44CE"/>
    <w:multiLevelType w:val="hybridMultilevel"/>
    <w:tmpl w:val="6E1A4C3A"/>
    <w:lvl w:ilvl="0" w:tplc="650CDDB0">
      <w:start w:val="1"/>
      <w:numFmt w:val="decimal"/>
      <w:lvlText w:val="NR.4.%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51751"/>
    <w:multiLevelType w:val="hybridMultilevel"/>
    <w:tmpl w:val="7DBE56AE"/>
    <w:lvl w:ilvl="0" w:tplc="97E47574">
      <w:start w:val="1"/>
      <w:numFmt w:val="decimal"/>
      <w:lvlText w:val="P.1.%1"/>
      <w:lvlJc w:val="left"/>
      <w:pPr>
        <w:ind w:left="63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4B3B31"/>
    <w:multiLevelType w:val="hybridMultilevel"/>
    <w:tmpl w:val="D4205608"/>
    <w:lvl w:ilvl="0" w:tplc="7DA6DFE4">
      <w:start w:val="1"/>
      <w:numFmt w:val="decimal"/>
      <w:lvlText w:val="NR.1.%1"/>
      <w:lvlJc w:val="left"/>
      <w:pPr>
        <w:ind w:left="-720" w:hanging="360"/>
      </w:pPr>
      <w:rPr>
        <w:rFonts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8" w15:restartNumberingAfterBreak="0">
    <w:nsid w:val="4B7F7F20"/>
    <w:multiLevelType w:val="hybridMultilevel"/>
    <w:tmpl w:val="876256AE"/>
    <w:lvl w:ilvl="0" w:tplc="4C8E65B8">
      <w:start w:val="1"/>
      <w:numFmt w:val="decimal"/>
      <w:lvlText w:val="P.1.%1"/>
      <w:lvlJc w:val="left"/>
      <w:pPr>
        <w:ind w:left="63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B07488"/>
    <w:multiLevelType w:val="hybridMultilevel"/>
    <w:tmpl w:val="6A50DE50"/>
    <w:lvl w:ilvl="0" w:tplc="428A2532">
      <w:start w:val="1"/>
      <w:numFmt w:val="decimal"/>
      <w:lvlText w:val="P.2.%1"/>
      <w:lvlJc w:val="left"/>
      <w:pPr>
        <w:ind w:left="63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41D71"/>
    <w:multiLevelType w:val="hybridMultilevel"/>
    <w:tmpl w:val="508EC674"/>
    <w:lvl w:ilvl="0" w:tplc="97E47574">
      <w:start w:val="1"/>
      <w:numFmt w:val="decimal"/>
      <w:lvlText w:val="P.1.%1"/>
      <w:lvlJc w:val="left"/>
      <w:pPr>
        <w:ind w:left="63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5E5544"/>
    <w:multiLevelType w:val="hybridMultilevel"/>
    <w:tmpl w:val="980A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FD4913"/>
    <w:multiLevelType w:val="hybridMultilevel"/>
    <w:tmpl w:val="2CFAF606"/>
    <w:lvl w:ilvl="0" w:tplc="4C8E65B8">
      <w:start w:val="1"/>
      <w:numFmt w:val="decimal"/>
      <w:lvlText w:val="P.1.%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4C0378"/>
    <w:multiLevelType w:val="hybridMultilevel"/>
    <w:tmpl w:val="38741A8E"/>
    <w:lvl w:ilvl="0" w:tplc="9C444594">
      <w:start w:val="1"/>
      <w:numFmt w:val="decimal"/>
      <w:lvlText w:val="F.1.%1"/>
      <w:lvlJc w:val="left"/>
      <w:pPr>
        <w:ind w:left="720" w:hanging="360"/>
      </w:pPr>
      <w:rPr>
        <w:rFonts w:hint="default"/>
      </w:rPr>
    </w:lvl>
    <w:lvl w:ilvl="1" w:tplc="9C444594">
      <w:start w:val="1"/>
      <w:numFmt w:val="decimal"/>
      <w:lvlText w:val="F.1.%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071E22"/>
    <w:multiLevelType w:val="hybridMultilevel"/>
    <w:tmpl w:val="F3C2E7A8"/>
    <w:lvl w:ilvl="0" w:tplc="856643EC">
      <w:start w:val="1"/>
      <w:numFmt w:val="decimal"/>
      <w:lvlText w:val="P.3.%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233019"/>
    <w:multiLevelType w:val="hybridMultilevel"/>
    <w:tmpl w:val="BA664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290D25"/>
    <w:multiLevelType w:val="hybridMultilevel"/>
    <w:tmpl w:val="CB20017C"/>
    <w:lvl w:ilvl="0" w:tplc="62FE37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B360EE"/>
    <w:multiLevelType w:val="hybridMultilevel"/>
    <w:tmpl w:val="6A50DE50"/>
    <w:lvl w:ilvl="0" w:tplc="428A2532">
      <w:start w:val="1"/>
      <w:numFmt w:val="decimal"/>
      <w:lvlText w:val="P.2.%1"/>
      <w:lvlJc w:val="left"/>
      <w:pPr>
        <w:ind w:left="63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C44301"/>
    <w:multiLevelType w:val="hybridMultilevel"/>
    <w:tmpl w:val="68AAD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356778"/>
    <w:multiLevelType w:val="hybridMultilevel"/>
    <w:tmpl w:val="7DBE56AE"/>
    <w:lvl w:ilvl="0" w:tplc="97E47574">
      <w:start w:val="1"/>
      <w:numFmt w:val="decimal"/>
      <w:lvlText w:val="P.1.%1"/>
      <w:lvlJc w:val="left"/>
      <w:pPr>
        <w:ind w:left="63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295EFD"/>
    <w:multiLevelType w:val="hybridMultilevel"/>
    <w:tmpl w:val="1DEE937E"/>
    <w:lvl w:ilvl="0" w:tplc="33DE11AA">
      <w:start w:val="1"/>
      <w:numFmt w:val="decimal"/>
      <w:lvlText w:val="NR. 3.%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7"/>
  </w:num>
  <w:num w:numId="4">
    <w:abstractNumId w:val="26"/>
  </w:num>
  <w:num w:numId="5">
    <w:abstractNumId w:val="13"/>
  </w:num>
  <w:num w:numId="6">
    <w:abstractNumId w:val="21"/>
  </w:num>
  <w:num w:numId="7">
    <w:abstractNumId w:val="17"/>
  </w:num>
  <w:num w:numId="8">
    <w:abstractNumId w:val="25"/>
  </w:num>
  <w:num w:numId="9">
    <w:abstractNumId w:val="0"/>
  </w:num>
  <w:num w:numId="10">
    <w:abstractNumId w:val="28"/>
  </w:num>
  <w:num w:numId="11">
    <w:abstractNumId w:val="29"/>
  </w:num>
  <w:num w:numId="12">
    <w:abstractNumId w:val="30"/>
  </w:num>
  <w:num w:numId="13">
    <w:abstractNumId w:val="24"/>
  </w:num>
  <w:num w:numId="14">
    <w:abstractNumId w:val="22"/>
  </w:num>
  <w:num w:numId="15">
    <w:abstractNumId w:val="6"/>
  </w:num>
  <w:num w:numId="16">
    <w:abstractNumId w:val="4"/>
  </w:num>
  <w:num w:numId="17">
    <w:abstractNumId w:val="18"/>
  </w:num>
  <w:num w:numId="18">
    <w:abstractNumId w:val="10"/>
  </w:num>
  <w:num w:numId="19">
    <w:abstractNumId w:val="19"/>
  </w:num>
  <w:num w:numId="20">
    <w:abstractNumId w:val="14"/>
  </w:num>
  <w:num w:numId="21">
    <w:abstractNumId w:val="9"/>
  </w:num>
  <w:num w:numId="22">
    <w:abstractNumId w:val="12"/>
  </w:num>
  <w:num w:numId="23">
    <w:abstractNumId w:val="8"/>
  </w:num>
  <w:num w:numId="24">
    <w:abstractNumId w:val="27"/>
  </w:num>
  <w:num w:numId="25">
    <w:abstractNumId w:val="20"/>
  </w:num>
  <w:num w:numId="26">
    <w:abstractNumId w:val="11"/>
  </w:num>
  <w:num w:numId="27">
    <w:abstractNumId w:val="15"/>
  </w:num>
  <w:num w:numId="28">
    <w:abstractNumId w:val="1"/>
  </w:num>
  <w:num w:numId="29">
    <w:abstractNumId w:val="3"/>
  </w:num>
  <w:num w:numId="30">
    <w:abstractNumId w:val="2"/>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282"/>
    <w:rsid w:val="00020EAD"/>
    <w:rsid w:val="00024DAF"/>
    <w:rsid w:val="00030756"/>
    <w:rsid w:val="000348B4"/>
    <w:rsid w:val="000534D8"/>
    <w:rsid w:val="000621A7"/>
    <w:rsid w:val="00081307"/>
    <w:rsid w:val="00083F1A"/>
    <w:rsid w:val="00085B64"/>
    <w:rsid w:val="000A5282"/>
    <w:rsid w:val="000A78E1"/>
    <w:rsid w:val="000B5ED8"/>
    <w:rsid w:val="000F41ED"/>
    <w:rsid w:val="000F6D8B"/>
    <w:rsid w:val="00114231"/>
    <w:rsid w:val="00127212"/>
    <w:rsid w:val="00130C0A"/>
    <w:rsid w:val="00145CA7"/>
    <w:rsid w:val="00157FBF"/>
    <w:rsid w:val="001630CD"/>
    <w:rsid w:val="00173268"/>
    <w:rsid w:val="00180255"/>
    <w:rsid w:val="00195786"/>
    <w:rsid w:val="001A3C1A"/>
    <w:rsid w:val="001B7257"/>
    <w:rsid w:val="001D18DD"/>
    <w:rsid w:val="001E21BA"/>
    <w:rsid w:val="001E6E50"/>
    <w:rsid w:val="001F6544"/>
    <w:rsid w:val="00216807"/>
    <w:rsid w:val="00217B89"/>
    <w:rsid w:val="002275F4"/>
    <w:rsid w:val="00244874"/>
    <w:rsid w:val="00247AB7"/>
    <w:rsid w:val="00253F57"/>
    <w:rsid w:val="0027151A"/>
    <w:rsid w:val="002949C4"/>
    <w:rsid w:val="002A6976"/>
    <w:rsid w:val="002A7EAD"/>
    <w:rsid w:val="002B750B"/>
    <w:rsid w:val="002C3721"/>
    <w:rsid w:val="002F75EA"/>
    <w:rsid w:val="00305671"/>
    <w:rsid w:val="00310B6A"/>
    <w:rsid w:val="003150D0"/>
    <w:rsid w:val="00320454"/>
    <w:rsid w:val="0032733B"/>
    <w:rsid w:val="003351DF"/>
    <w:rsid w:val="00346EB2"/>
    <w:rsid w:val="00361953"/>
    <w:rsid w:val="0036749C"/>
    <w:rsid w:val="003819EB"/>
    <w:rsid w:val="003A05D3"/>
    <w:rsid w:val="003C28A7"/>
    <w:rsid w:val="003C660A"/>
    <w:rsid w:val="003D41B0"/>
    <w:rsid w:val="003E0CE4"/>
    <w:rsid w:val="003F59A7"/>
    <w:rsid w:val="004145DD"/>
    <w:rsid w:val="0042500A"/>
    <w:rsid w:val="00435371"/>
    <w:rsid w:val="0043552E"/>
    <w:rsid w:val="00435C8F"/>
    <w:rsid w:val="00437799"/>
    <w:rsid w:val="00440C0F"/>
    <w:rsid w:val="004410AE"/>
    <w:rsid w:val="0047651E"/>
    <w:rsid w:val="00492CB8"/>
    <w:rsid w:val="00493D8E"/>
    <w:rsid w:val="004C2D3E"/>
    <w:rsid w:val="004D11A4"/>
    <w:rsid w:val="004E4495"/>
    <w:rsid w:val="004F3995"/>
    <w:rsid w:val="005262DF"/>
    <w:rsid w:val="00543062"/>
    <w:rsid w:val="00573AFD"/>
    <w:rsid w:val="00585629"/>
    <w:rsid w:val="005B319B"/>
    <w:rsid w:val="005B411B"/>
    <w:rsid w:val="005F59E4"/>
    <w:rsid w:val="006002C9"/>
    <w:rsid w:val="006233BE"/>
    <w:rsid w:val="00644B3F"/>
    <w:rsid w:val="0064713A"/>
    <w:rsid w:val="00651FF6"/>
    <w:rsid w:val="00655F44"/>
    <w:rsid w:val="0067269B"/>
    <w:rsid w:val="00673C2B"/>
    <w:rsid w:val="00684E87"/>
    <w:rsid w:val="006A5F3D"/>
    <w:rsid w:val="006B7696"/>
    <w:rsid w:val="006B7D70"/>
    <w:rsid w:val="006E1ABF"/>
    <w:rsid w:val="006E7940"/>
    <w:rsid w:val="00702A0D"/>
    <w:rsid w:val="00742540"/>
    <w:rsid w:val="0074577B"/>
    <w:rsid w:val="00746904"/>
    <w:rsid w:val="00757223"/>
    <w:rsid w:val="0079500A"/>
    <w:rsid w:val="007B577D"/>
    <w:rsid w:val="007D328A"/>
    <w:rsid w:val="007D4C8D"/>
    <w:rsid w:val="007F6C2D"/>
    <w:rsid w:val="00821630"/>
    <w:rsid w:val="008523C3"/>
    <w:rsid w:val="008706EF"/>
    <w:rsid w:val="00882B5E"/>
    <w:rsid w:val="00884CA0"/>
    <w:rsid w:val="0089207E"/>
    <w:rsid w:val="008943CE"/>
    <w:rsid w:val="008D703F"/>
    <w:rsid w:val="008D7699"/>
    <w:rsid w:val="008F0491"/>
    <w:rsid w:val="008F6999"/>
    <w:rsid w:val="0090598D"/>
    <w:rsid w:val="009375F8"/>
    <w:rsid w:val="0094169B"/>
    <w:rsid w:val="0096129F"/>
    <w:rsid w:val="00971213"/>
    <w:rsid w:val="00977B81"/>
    <w:rsid w:val="00983D18"/>
    <w:rsid w:val="00991E8B"/>
    <w:rsid w:val="0099624D"/>
    <w:rsid w:val="00997686"/>
    <w:rsid w:val="009A4292"/>
    <w:rsid w:val="009A636A"/>
    <w:rsid w:val="009B0659"/>
    <w:rsid w:val="009B2EE5"/>
    <w:rsid w:val="009C6BC6"/>
    <w:rsid w:val="009D1141"/>
    <w:rsid w:val="009D3AFE"/>
    <w:rsid w:val="009D4414"/>
    <w:rsid w:val="009E4048"/>
    <w:rsid w:val="009F31DB"/>
    <w:rsid w:val="009F4FED"/>
    <w:rsid w:val="00A179B9"/>
    <w:rsid w:val="00A37860"/>
    <w:rsid w:val="00A70E83"/>
    <w:rsid w:val="00A77B05"/>
    <w:rsid w:val="00A827EF"/>
    <w:rsid w:val="00A838DA"/>
    <w:rsid w:val="00A86B28"/>
    <w:rsid w:val="00AB6C19"/>
    <w:rsid w:val="00AE2866"/>
    <w:rsid w:val="00AF3962"/>
    <w:rsid w:val="00B07075"/>
    <w:rsid w:val="00B16F2D"/>
    <w:rsid w:val="00B17843"/>
    <w:rsid w:val="00B20034"/>
    <w:rsid w:val="00B30919"/>
    <w:rsid w:val="00B315A6"/>
    <w:rsid w:val="00B4115C"/>
    <w:rsid w:val="00B4777F"/>
    <w:rsid w:val="00B5067E"/>
    <w:rsid w:val="00B56008"/>
    <w:rsid w:val="00B77602"/>
    <w:rsid w:val="00BA1D9D"/>
    <w:rsid w:val="00BB67BD"/>
    <w:rsid w:val="00BC24E3"/>
    <w:rsid w:val="00BD2FD5"/>
    <w:rsid w:val="00C177CE"/>
    <w:rsid w:val="00C22FF9"/>
    <w:rsid w:val="00C423B8"/>
    <w:rsid w:val="00C46F9D"/>
    <w:rsid w:val="00C52DA4"/>
    <w:rsid w:val="00C70DDF"/>
    <w:rsid w:val="00C854FB"/>
    <w:rsid w:val="00C9597C"/>
    <w:rsid w:val="00CC0AB9"/>
    <w:rsid w:val="00CC1260"/>
    <w:rsid w:val="00CC16F1"/>
    <w:rsid w:val="00CC4A3A"/>
    <w:rsid w:val="00CC5AA1"/>
    <w:rsid w:val="00CC6198"/>
    <w:rsid w:val="00CD76E9"/>
    <w:rsid w:val="00CF354B"/>
    <w:rsid w:val="00CF498F"/>
    <w:rsid w:val="00CF6AF8"/>
    <w:rsid w:val="00D00C23"/>
    <w:rsid w:val="00D13C53"/>
    <w:rsid w:val="00D14D37"/>
    <w:rsid w:val="00D15660"/>
    <w:rsid w:val="00D17755"/>
    <w:rsid w:val="00D22B28"/>
    <w:rsid w:val="00D355B6"/>
    <w:rsid w:val="00D46281"/>
    <w:rsid w:val="00D51140"/>
    <w:rsid w:val="00D57673"/>
    <w:rsid w:val="00D61D9C"/>
    <w:rsid w:val="00D67DBA"/>
    <w:rsid w:val="00D923A3"/>
    <w:rsid w:val="00DA121D"/>
    <w:rsid w:val="00DB2D87"/>
    <w:rsid w:val="00DB5810"/>
    <w:rsid w:val="00DD0B52"/>
    <w:rsid w:val="00DE1B69"/>
    <w:rsid w:val="00DF59B1"/>
    <w:rsid w:val="00DF7C31"/>
    <w:rsid w:val="00E53737"/>
    <w:rsid w:val="00E8248C"/>
    <w:rsid w:val="00E946CE"/>
    <w:rsid w:val="00EA6108"/>
    <w:rsid w:val="00EA6310"/>
    <w:rsid w:val="00EA79F6"/>
    <w:rsid w:val="00EC685E"/>
    <w:rsid w:val="00ED75D6"/>
    <w:rsid w:val="00EE4A6F"/>
    <w:rsid w:val="00F023E9"/>
    <w:rsid w:val="00F111D1"/>
    <w:rsid w:val="00F31E9E"/>
    <w:rsid w:val="00F63D79"/>
    <w:rsid w:val="00FB32A0"/>
    <w:rsid w:val="00FE0809"/>
    <w:rsid w:val="00FE61CD"/>
    <w:rsid w:val="00FF0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9B143"/>
  <w15:chartTrackingRefBased/>
  <w15:docId w15:val="{CCA38D29-A375-4423-8D28-197B9925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B411B"/>
    <w:pPr>
      <w:keepNext/>
      <w:keepLines/>
      <w:spacing w:before="2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30919"/>
    <w:pPr>
      <w:keepNext/>
      <w:keepLines/>
      <w:spacing w:before="240" w:after="12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46CE"/>
    <w:pPr>
      <w:jc w:val="center"/>
    </w:pPr>
    <w:rPr>
      <w:rFonts w:ascii="Times New Roman" w:hAnsi="Times New Roman" w:cs="Times New Roman"/>
      <w:sz w:val="24"/>
    </w:rPr>
  </w:style>
  <w:style w:type="character" w:customStyle="1" w:styleId="TitleChar">
    <w:name w:val="Title Char"/>
    <w:basedOn w:val="DefaultParagraphFont"/>
    <w:link w:val="Title"/>
    <w:uiPriority w:val="10"/>
    <w:rsid w:val="00E946CE"/>
    <w:rPr>
      <w:rFonts w:ascii="Times New Roman" w:hAnsi="Times New Roman" w:cs="Times New Roman"/>
      <w:sz w:val="24"/>
    </w:rPr>
  </w:style>
  <w:style w:type="paragraph" w:styleId="ListParagraph">
    <w:name w:val="List Paragraph"/>
    <w:basedOn w:val="Normal"/>
    <w:uiPriority w:val="34"/>
    <w:qFormat/>
    <w:rsid w:val="000A5282"/>
    <w:pPr>
      <w:ind w:left="720"/>
      <w:contextualSpacing/>
    </w:pPr>
  </w:style>
  <w:style w:type="table" w:styleId="TableGrid">
    <w:name w:val="Table Grid"/>
    <w:basedOn w:val="TableNormal"/>
    <w:uiPriority w:val="39"/>
    <w:rsid w:val="00EA7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B411B"/>
    <w:rPr>
      <w:rFonts w:asciiTheme="majorHAnsi" w:eastAsiaTheme="majorEastAsia" w:hAnsiTheme="majorHAnsi" w:cstheme="majorBidi"/>
      <w:color w:val="2E74B5" w:themeColor="accent1" w:themeShade="BF"/>
      <w:sz w:val="26"/>
      <w:szCs w:val="26"/>
    </w:rPr>
  </w:style>
  <w:style w:type="paragraph" w:styleId="IntenseQuote">
    <w:name w:val="Intense Quote"/>
    <w:basedOn w:val="Normal"/>
    <w:next w:val="Normal"/>
    <w:link w:val="IntenseQuoteChar"/>
    <w:uiPriority w:val="30"/>
    <w:qFormat/>
    <w:rsid w:val="00B5600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56008"/>
    <w:rPr>
      <w:i/>
      <w:iCs/>
      <w:color w:val="5B9BD5" w:themeColor="accent1"/>
    </w:rPr>
  </w:style>
  <w:style w:type="character" w:customStyle="1" w:styleId="Heading3Char">
    <w:name w:val="Heading 3 Char"/>
    <w:basedOn w:val="DefaultParagraphFont"/>
    <w:link w:val="Heading3"/>
    <w:uiPriority w:val="9"/>
    <w:rsid w:val="00B30919"/>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3150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50D0"/>
    <w:rPr>
      <w:sz w:val="20"/>
      <w:szCs w:val="20"/>
    </w:rPr>
  </w:style>
  <w:style w:type="character" w:styleId="FootnoteReference">
    <w:name w:val="footnote reference"/>
    <w:basedOn w:val="DefaultParagraphFont"/>
    <w:uiPriority w:val="99"/>
    <w:semiHidden/>
    <w:unhideWhenUsed/>
    <w:rsid w:val="003150D0"/>
    <w:rPr>
      <w:vertAlign w:val="superscript"/>
    </w:rPr>
  </w:style>
  <w:style w:type="character" w:styleId="CommentReference">
    <w:name w:val="annotation reference"/>
    <w:basedOn w:val="DefaultParagraphFont"/>
    <w:uiPriority w:val="99"/>
    <w:semiHidden/>
    <w:unhideWhenUsed/>
    <w:rsid w:val="00C70DDF"/>
    <w:rPr>
      <w:sz w:val="16"/>
      <w:szCs w:val="16"/>
    </w:rPr>
  </w:style>
  <w:style w:type="paragraph" w:styleId="CommentText">
    <w:name w:val="annotation text"/>
    <w:basedOn w:val="Normal"/>
    <w:link w:val="CommentTextChar"/>
    <w:uiPriority w:val="99"/>
    <w:semiHidden/>
    <w:unhideWhenUsed/>
    <w:rsid w:val="00C70DDF"/>
    <w:pPr>
      <w:spacing w:line="240" w:lineRule="auto"/>
    </w:pPr>
    <w:rPr>
      <w:sz w:val="20"/>
      <w:szCs w:val="20"/>
    </w:rPr>
  </w:style>
  <w:style w:type="character" w:customStyle="1" w:styleId="CommentTextChar">
    <w:name w:val="Comment Text Char"/>
    <w:basedOn w:val="DefaultParagraphFont"/>
    <w:link w:val="CommentText"/>
    <w:uiPriority w:val="99"/>
    <w:semiHidden/>
    <w:rsid w:val="00C70DDF"/>
    <w:rPr>
      <w:sz w:val="20"/>
      <w:szCs w:val="20"/>
    </w:rPr>
  </w:style>
  <w:style w:type="paragraph" w:styleId="CommentSubject">
    <w:name w:val="annotation subject"/>
    <w:basedOn w:val="CommentText"/>
    <w:next w:val="CommentText"/>
    <w:link w:val="CommentSubjectChar"/>
    <w:uiPriority w:val="99"/>
    <w:semiHidden/>
    <w:unhideWhenUsed/>
    <w:rsid w:val="00C70DDF"/>
    <w:rPr>
      <w:b/>
      <w:bCs/>
    </w:rPr>
  </w:style>
  <w:style w:type="character" w:customStyle="1" w:styleId="CommentSubjectChar">
    <w:name w:val="Comment Subject Char"/>
    <w:basedOn w:val="CommentTextChar"/>
    <w:link w:val="CommentSubject"/>
    <w:uiPriority w:val="99"/>
    <w:semiHidden/>
    <w:rsid w:val="00C70DDF"/>
    <w:rPr>
      <w:b/>
      <w:bCs/>
      <w:sz w:val="20"/>
      <w:szCs w:val="20"/>
    </w:rPr>
  </w:style>
  <w:style w:type="paragraph" w:styleId="BalloonText">
    <w:name w:val="Balloon Text"/>
    <w:basedOn w:val="Normal"/>
    <w:link w:val="BalloonTextChar"/>
    <w:uiPriority w:val="99"/>
    <w:semiHidden/>
    <w:unhideWhenUsed/>
    <w:rsid w:val="00C70D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DDF"/>
    <w:rPr>
      <w:rFonts w:ascii="Segoe UI" w:hAnsi="Segoe UI" w:cs="Segoe UI"/>
      <w:sz w:val="18"/>
      <w:szCs w:val="18"/>
    </w:rPr>
  </w:style>
  <w:style w:type="paragraph" w:styleId="Header">
    <w:name w:val="header"/>
    <w:basedOn w:val="Normal"/>
    <w:link w:val="HeaderChar"/>
    <w:uiPriority w:val="99"/>
    <w:unhideWhenUsed/>
    <w:rsid w:val="009059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98D"/>
  </w:style>
  <w:style w:type="paragraph" w:styleId="Footer">
    <w:name w:val="footer"/>
    <w:basedOn w:val="Normal"/>
    <w:link w:val="FooterChar"/>
    <w:uiPriority w:val="99"/>
    <w:unhideWhenUsed/>
    <w:rsid w:val="009059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98D"/>
  </w:style>
  <w:style w:type="character" w:styleId="PlaceholderText">
    <w:name w:val="Placeholder Text"/>
    <w:basedOn w:val="DefaultParagraphFont"/>
    <w:uiPriority w:val="99"/>
    <w:semiHidden/>
    <w:rsid w:val="00127212"/>
    <w:rPr>
      <w:color w:val="808080"/>
    </w:rPr>
  </w:style>
  <w:style w:type="paragraph" w:customStyle="1" w:styleId="Table">
    <w:name w:val="Table"/>
    <w:basedOn w:val="Normal"/>
    <w:link w:val="TableChar"/>
    <w:qFormat/>
    <w:rsid w:val="00B30919"/>
    <w:pPr>
      <w:spacing w:after="0" w:line="240" w:lineRule="auto"/>
    </w:pPr>
  </w:style>
  <w:style w:type="character" w:customStyle="1" w:styleId="TableChar">
    <w:name w:val="Table Char"/>
    <w:basedOn w:val="DefaultParagraphFont"/>
    <w:link w:val="Table"/>
    <w:rsid w:val="00B30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267218">
      <w:bodyDiv w:val="1"/>
      <w:marLeft w:val="0"/>
      <w:marRight w:val="0"/>
      <w:marTop w:val="0"/>
      <w:marBottom w:val="0"/>
      <w:divBdr>
        <w:top w:val="none" w:sz="0" w:space="0" w:color="auto"/>
        <w:left w:val="none" w:sz="0" w:space="0" w:color="auto"/>
        <w:bottom w:val="none" w:sz="0" w:space="0" w:color="auto"/>
        <w:right w:val="none" w:sz="0" w:space="0" w:color="auto"/>
      </w:divBdr>
    </w:div>
    <w:div w:id="130685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B124A1BDC94AF887B3EB621B43C0A2"/>
        <w:category>
          <w:name w:val="General"/>
          <w:gallery w:val="placeholder"/>
        </w:category>
        <w:types>
          <w:type w:val="bbPlcHdr"/>
        </w:types>
        <w:behaviors>
          <w:behavior w:val="content"/>
        </w:behaviors>
        <w:guid w:val="{1683E07D-3E1A-46CA-93FD-BC1E9EE4CE9E}"/>
      </w:docPartPr>
      <w:docPartBody>
        <w:p w:rsidR="00415FDA" w:rsidRDefault="00A26FF5" w:rsidP="00A26FF5">
          <w:pPr>
            <w:pStyle w:val="8EB124A1BDC94AF887B3EB621B43C0A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FF5"/>
    <w:rsid w:val="0041386C"/>
    <w:rsid w:val="00415FDA"/>
    <w:rsid w:val="008A3FAB"/>
    <w:rsid w:val="00A26FF5"/>
    <w:rsid w:val="00D05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6F17A98C4C43D08FECF319273FDCF1">
    <w:name w:val="486F17A98C4C43D08FECF319273FDCF1"/>
    <w:rsid w:val="00A26FF5"/>
  </w:style>
  <w:style w:type="character" w:styleId="PlaceholderText">
    <w:name w:val="Placeholder Text"/>
    <w:basedOn w:val="DefaultParagraphFont"/>
    <w:uiPriority w:val="99"/>
    <w:semiHidden/>
    <w:rsid w:val="00A26FF5"/>
    <w:rPr>
      <w:color w:val="808080"/>
    </w:rPr>
  </w:style>
  <w:style w:type="paragraph" w:customStyle="1" w:styleId="8EB124A1BDC94AF887B3EB621B43C0A2">
    <w:name w:val="8EB124A1BDC94AF887B3EB621B43C0A2"/>
    <w:rsid w:val="00A26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2B350-7CED-4435-8E45-F985889A5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3126</Words>
  <Characters>16383</Characters>
  <Application>Microsoft Office Word</Application>
  <DocSecurity>0</DocSecurity>
  <Lines>442</Lines>
  <Paragraphs>348</Paragraphs>
  <ScaleCrop>false</ScaleCrop>
  <HeadingPairs>
    <vt:vector size="2" baseType="variant">
      <vt:variant>
        <vt:lpstr>Title</vt:lpstr>
      </vt:variant>
      <vt:variant>
        <vt:i4>1</vt:i4>
      </vt:variant>
    </vt:vector>
  </HeadingPairs>
  <TitlesOfParts>
    <vt:vector size="1" baseType="lpstr">
      <vt:lpstr>Draft Findings and Potential Policy Tools – for Meeting 5</vt:lpstr>
    </vt:vector>
  </TitlesOfParts>
  <Company>WA Department of Ecology</Company>
  <LinksUpToDate>false</LinksUpToDate>
  <CharactersWithSpaces>19161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Findings and Potential Policy Tools – for Meeting 5</dc:title>
  <dc:subject/>
  <dc:creator>Sessions, Carrie (ECY)</dc:creator>
  <cp:keywords/>
  <dc:description/>
  <cp:lastModifiedBy>Anderson, Chris (ECY)</cp:lastModifiedBy>
  <cp:revision>2</cp:revision>
  <cp:lastPrinted>2020-06-15T22:03:00Z</cp:lastPrinted>
  <dcterms:created xsi:type="dcterms:W3CDTF">2020-06-22T19:33:00Z</dcterms:created>
  <dcterms:modified xsi:type="dcterms:W3CDTF">2020-06-22T19:33:00Z</dcterms:modified>
</cp:coreProperties>
</file>