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140520AB" w:rsidR="00872774" w:rsidRDefault="00872774" w:rsidP="00872774">
      <w:pPr>
        <w:pStyle w:val="Titlestyle"/>
        <w:rPr>
          <w:sz w:val="36"/>
          <w:szCs w:val="28"/>
        </w:rPr>
      </w:pPr>
      <w:r>
        <w:rPr>
          <w:noProof/>
        </w:rPr>
        <w:drawing>
          <wp:anchor distT="0" distB="0" distL="114300" distR="114300" simplePos="0" relativeHeight="251657216" behindDoc="0" locked="0" layoutInCell="1" allowOverlap="1" wp14:anchorId="726F8BB5" wp14:editId="09E1D6D1">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234DA9">
        <w:rPr>
          <w:sz w:val="36"/>
          <w:szCs w:val="28"/>
        </w:rPr>
        <w:t>Meeting Notes</w:t>
      </w:r>
    </w:p>
    <w:p w14:paraId="6A34B10B" w14:textId="77777777" w:rsidR="00872774" w:rsidRDefault="00872774" w:rsidP="00872774">
      <w:pPr>
        <w:pStyle w:val="Sub-titlestyle"/>
        <w:rPr>
          <w:b/>
          <w:color w:val="44688F"/>
        </w:rPr>
      </w:pPr>
      <w:r>
        <w:rPr>
          <w:b/>
          <w:color w:val="44688F"/>
        </w:rPr>
        <w:t>Snohomish (WRIA 7)</w:t>
      </w:r>
    </w:p>
    <w:p w14:paraId="0278EDF5" w14:textId="79C6454E" w:rsidR="00872774" w:rsidRDefault="0028226B" w:rsidP="00872774">
      <w:pPr>
        <w:pStyle w:val="Sub-titlestyle"/>
        <w:rPr>
          <w:b/>
          <w:color w:val="44688F"/>
        </w:rPr>
      </w:pPr>
      <w:r>
        <w:rPr>
          <w:b/>
          <w:color w:val="44688F"/>
        </w:rPr>
        <w:t xml:space="preserve">WREC Technical Workgroup </w:t>
      </w:r>
      <w:r w:rsidR="00872774">
        <w:rPr>
          <w:b/>
          <w:color w:val="44688F"/>
        </w:rPr>
        <w:t>meeting</w:t>
      </w:r>
    </w:p>
    <w:p w14:paraId="744D8640" w14:textId="56C89FD2" w:rsidR="00872774" w:rsidRDefault="007A79D7" w:rsidP="00872774">
      <w:pPr>
        <w:pStyle w:val="Sub-titlestyle"/>
        <w:rPr>
          <w:color w:val="44688F"/>
        </w:rPr>
      </w:pPr>
      <w:r>
        <w:rPr>
          <w:color w:val="44688F"/>
        </w:rPr>
        <w:t>November 18</w:t>
      </w:r>
      <w:r w:rsidR="00CB6EAC">
        <w:rPr>
          <w:color w:val="44688F"/>
        </w:rPr>
        <w:t>, 2019 | 10:30 a.m. - 12</w:t>
      </w:r>
      <w:r w:rsidR="00EA578F">
        <w:rPr>
          <w:color w:val="44688F"/>
        </w:rPr>
        <w:t>:</w:t>
      </w:r>
      <w:r w:rsidR="000F2C37">
        <w:rPr>
          <w:color w:val="44688F"/>
        </w:rPr>
        <w:t>0</w:t>
      </w:r>
      <w:r w:rsidR="0088584A">
        <w:rPr>
          <w:color w:val="44688F"/>
        </w:rPr>
        <w:t>0</w:t>
      </w:r>
      <w:r w:rsidR="00EA578F">
        <w:rPr>
          <w:color w:val="44688F"/>
        </w:rPr>
        <w:t xml:space="preserve"> a</w:t>
      </w:r>
      <w:r w:rsidR="00872774">
        <w:rPr>
          <w:color w:val="44688F"/>
        </w:rPr>
        <w:t xml:space="preserve">.m. </w:t>
      </w:r>
      <w:hyperlink r:id="rId13" w:history="1">
        <w:r w:rsidR="00872774">
          <w:rPr>
            <w:rStyle w:val="Hyperlink"/>
          </w:rPr>
          <w:t>WRIA 7 Committee Webpage</w:t>
        </w:r>
      </w:hyperlink>
      <w:r w:rsidR="00872774">
        <w:rPr>
          <w:color w:val="44688F"/>
        </w:rPr>
        <w:t xml:space="preserve"> </w:t>
      </w:r>
    </w:p>
    <w:p w14:paraId="5D243292" w14:textId="70B9D426" w:rsidR="00872774" w:rsidRDefault="00872774" w:rsidP="0087277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5F3AAB7F">
                <wp:simplePos x="0" y="0"/>
                <wp:positionH relativeFrom="page">
                  <wp:align>left</wp:align>
                </wp:positionH>
                <wp:positionV relativeFrom="paragraph">
                  <wp:posOffset>146050</wp:posOffset>
                </wp:positionV>
                <wp:extent cx="7753350" cy="1242060"/>
                <wp:effectExtent l="0" t="0" r="0" b="0"/>
                <wp:wrapNone/>
                <wp:docPr id="3" name="Rectangle 3" descr="decorative" title="Blue band"/>
                <wp:cNvGraphicFramePr/>
                <a:graphic xmlns:a="http://schemas.openxmlformats.org/drawingml/2006/main">
                  <a:graphicData uri="http://schemas.microsoft.com/office/word/2010/wordprocessingShape">
                    <wps:wsp>
                      <wps:cNvSpPr/>
                      <wps:spPr>
                        <a:xfrm>
                          <a:off x="0" y="0"/>
                          <a:ext cx="7753350" cy="12420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EDD3DF" id="Rectangle 3" o:spid="_x0000_s1026" alt="Title: Blue band - Description: decorative" style="position:absolute;margin-left:0;margin-top:11.5pt;width:610.5pt;height:97.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" fillcolor="#44688f" stroked="f" strokeweight="1pt">
                <w10:wrap anchorx="page"/>
              </v:rect>
            </w:pict>
          </mc:Fallback>
        </mc:AlternateContent>
      </w:r>
    </w:p>
    <w:p w14:paraId="50B4FC68" w14:textId="77777777" w:rsidR="00872774" w:rsidRDefault="00872774" w:rsidP="00872774">
      <w:pPr>
        <w:rPr>
          <w:rFonts w:asciiTheme="majorHAnsi" w:eastAsiaTheme="majorEastAsia" w:hAnsiTheme="majorHAnsi" w:cstheme="majorBidi"/>
          <w:color w:val="FFFFFF" w:themeColor="background1"/>
          <w:sz w:val="26"/>
          <w:szCs w:val="26"/>
        </w:rPr>
        <w:sectPr w:rsidR="00872774" w:rsidSect="00872774">
          <w:type w:val="continuous"/>
          <w:pgSz w:w="12240" w:h="15840"/>
          <w:pgMar w:top="720" w:right="1440" w:bottom="720" w:left="1440" w:header="0" w:footer="720" w:gutter="0"/>
          <w:cols w:space="720"/>
        </w:sectPr>
      </w:pPr>
    </w:p>
    <w:p w14:paraId="35E3B8C9" w14:textId="77777777" w:rsidR="006408FE" w:rsidRDefault="00872774" w:rsidP="00872774">
      <w:pPr>
        <w:pStyle w:val="Heading2"/>
        <w:spacing w:before="0"/>
        <w:rPr>
          <w:b/>
          <w:color w:val="FFFFFF" w:themeColor="background1"/>
          <w:u w:val="single"/>
        </w:rPr>
      </w:pPr>
      <w:r>
        <w:rPr>
          <w:b/>
          <w:color w:val="FFFFFF" w:themeColor="background1"/>
          <w:u w:val="single"/>
        </w:rPr>
        <w:t>Location</w:t>
      </w:r>
    </w:p>
    <w:p w14:paraId="12DB0A0E" w14:textId="3F647BD6" w:rsidR="006A07E1" w:rsidRDefault="007A79D7" w:rsidP="00223047">
      <w:pPr>
        <w:rPr>
          <w:rFonts w:ascii="Franklin Gothic Book" w:hAnsi="Franklin Gothic Book"/>
          <w:color w:val="FFFFFF" w:themeColor="background1"/>
        </w:rPr>
      </w:pPr>
      <w:r>
        <w:rPr>
          <w:rFonts w:ascii="Franklin Gothic Book" w:hAnsi="Franklin Gothic Book"/>
          <w:color w:val="FFFFFF" w:themeColor="background1"/>
        </w:rPr>
        <w:t>WebEx</w:t>
      </w:r>
    </w:p>
    <w:p w14:paraId="0CEF9C15" w14:textId="580AC8F5" w:rsidR="007A79D7" w:rsidRDefault="007A79D7" w:rsidP="00223047">
      <w:pPr>
        <w:rPr>
          <w:rFonts w:ascii="Franklin Gothic Book" w:hAnsi="Franklin Gothic Book"/>
          <w:color w:val="FFFFFF" w:themeColor="background1"/>
        </w:rPr>
      </w:pPr>
    </w:p>
    <w:p w14:paraId="1201DB42"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Committee Chair</w:t>
      </w:r>
    </w:p>
    <w:p w14:paraId="6C452600"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 Jones</w:t>
      </w:r>
    </w:p>
    <w:p w14:paraId="33CFC297"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Ingria.Jones@ecy.wa.gov</w:t>
      </w:r>
    </w:p>
    <w:p w14:paraId="4468E69C" w14:textId="77777777" w:rsidR="00872774" w:rsidRDefault="00872774" w:rsidP="00872774">
      <w:pPr>
        <w:rPr>
          <w:rFonts w:ascii="Franklin Gothic Book" w:hAnsi="Franklin Gothic Book"/>
          <w:color w:val="FFFFFF" w:themeColor="background1"/>
        </w:rPr>
      </w:pPr>
      <w:r>
        <w:rPr>
          <w:rFonts w:ascii="Franklin Gothic Book" w:hAnsi="Franklin Gothic Book"/>
          <w:color w:val="FFFFFF" w:themeColor="background1"/>
        </w:rPr>
        <w:t>(425) 649-4210</w:t>
      </w:r>
    </w:p>
    <w:p w14:paraId="0763BAA7" w14:textId="77777777" w:rsidR="00872774" w:rsidRDefault="00872774" w:rsidP="008A2A69">
      <w:pPr>
        <w:ind w:right="-450"/>
        <w:rPr>
          <w:b/>
          <w:color w:val="FFFFFF" w:themeColor="background1"/>
          <w:u w:val="single"/>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Handouts</w:t>
      </w:r>
    </w:p>
    <w:p w14:paraId="17FC5331" w14:textId="059F16CC" w:rsidR="00872774" w:rsidRPr="00EE0C8D" w:rsidRDefault="00872774" w:rsidP="008A2A69">
      <w:pPr>
        <w:ind w:left="180" w:right="-450" w:hanging="180"/>
        <w:rPr>
          <w:rFonts w:ascii="Franklin Gothic Book" w:hAnsi="Franklin Gothic Book"/>
          <w:color w:val="FFFFFF" w:themeColor="background1"/>
          <w:sz w:val="21"/>
          <w:szCs w:val="21"/>
        </w:rPr>
      </w:pPr>
      <w:r w:rsidRPr="00EE0C8D">
        <w:rPr>
          <w:rFonts w:ascii="Franklin Gothic Book" w:hAnsi="Franklin Gothic Book"/>
          <w:color w:val="FFFFFF" w:themeColor="background1"/>
          <w:sz w:val="21"/>
          <w:szCs w:val="21"/>
        </w:rPr>
        <w:t>Agenda</w:t>
      </w:r>
    </w:p>
    <w:p w14:paraId="58F8FF93" w14:textId="68D209F7" w:rsidR="00EA578F" w:rsidRDefault="007A79D7" w:rsidP="008A2A69">
      <w:pPr>
        <w:ind w:left="180" w:right="-450" w:hanging="180"/>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 workbook</w:t>
      </w:r>
      <w:r w:rsidR="00EA578F" w:rsidRPr="00EE0C8D">
        <w:rPr>
          <w:rFonts w:ascii="Franklin Gothic Book" w:hAnsi="Franklin Gothic Book"/>
          <w:color w:val="FFFFFF" w:themeColor="background1"/>
          <w:sz w:val="21"/>
          <w:szCs w:val="21"/>
        </w:rPr>
        <w:t xml:space="preserve"> (spreadsheet</w:t>
      </w:r>
      <w:r>
        <w:rPr>
          <w:rFonts w:ascii="Franklin Gothic Book" w:hAnsi="Franklin Gothic Book"/>
          <w:color w:val="FFFFFF" w:themeColor="background1"/>
          <w:sz w:val="21"/>
          <w:szCs w:val="21"/>
        </w:rPr>
        <w:t xml:space="preserve"> – updated</w:t>
      </w:r>
      <w:r w:rsidR="00EA578F" w:rsidRPr="00EE0C8D">
        <w:rPr>
          <w:rFonts w:ascii="Franklin Gothic Book" w:hAnsi="Franklin Gothic Book"/>
          <w:color w:val="FFFFFF" w:themeColor="background1"/>
          <w:sz w:val="21"/>
          <w:szCs w:val="21"/>
        </w:rPr>
        <w:t>)</w:t>
      </w:r>
    </w:p>
    <w:p w14:paraId="5CD538F9" w14:textId="2B6BD8E0" w:rsidR="00E609C2" w:rsidRPr="00EE0C8D" w:rsidRDefault="00E609C2" w:rsidP="008A2A69">
      <w:pPr>
        <w:ind w:left="180" w:right="-450" w:hanging="180"/>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projections by subbasin map</w:t>
      </w:r>
    </w:p>
    <w:p w14:paraId="2852FA05" w14:textId="30AFC751" w:rsidR="00EA578F" w:rsidRDefault="007A79D7" w:rsidP="008A2A69">
      <w:pPr>
        <w:ind w:left="180" w:right="-450" w:hanging="180"/>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Consumptive use calculator (spreadsheet) </w:t>
      </w:r>
    </w:p>
    <w:p w14:paraId="6BBE0E06" w14:textId="0321462B" w:rsidR="003C6F46" w:rsidRDefault="003C6F46" w:rsidP="008A2A69">
      <w:pPr>
        <w:rPr>
          <w:rFonts w:ascii="Franklin Gothic Book" w:hAnsi="Franklin Gothic Book"/>
          <w:color w:val="FFFFFF" w:themeColor="background1"/>
        </w:rPr>
      </w:pPr>
    </w:p>
    <w:p w14:paraId="1E1C1363" w14:textId="77777777" w:rsidR="00872774" w:rsidRDefault="00872774" w:rsidP="00872774">
      <w:pPr>
        <w:rPr>
          <w:rFonts w:ascii="Franklin Gothic Book" w:hAnsi="Franklin Gothic Book"/>
          <w:color w:val="FFFFFF" w:themeColor="background1"/>
        </w:rPr>
        <w:sectPr w:rsidR="00872774">
          <w:type w:val="continuous"/>
          <w:pgSz w:w="12240" w:h="15840"/>
          <w:pgMar w:top="1080" w:right="1440" w:bottom="720" w:left="1440" w:header="720" w:footer="720" w:gutter="0"/>
          <w:cols w:num="3" w:space="90"/>
        </w:sectPr>
      </w:pPr>
    </w:p>
    <w:p w14:paraId="55FFCC7A" w14:textId="4A63D5B3" w:rsidR="00F23508" w:rsidRPr="00F23508" w:rsidRDefault="00F23508" w:rsidP="00F23508"/>
    <w:p w14:paraId="1591F035" w14:textId="64296F23" w:rsidR="00872774" w:rsidRDefault="00390A9D" w:rsidP="00872774">
      <w:pPr>
        <w:pStyle w:val="Heading1"/>
        <w:spacing w:before="0"/>
        <w:rPr>
          <w:b w:val="0"/>
          <w:bCs/>
          <w:color w:val="1F497D"/>
        </w:rPr>
      </w:pPr>
      <w:r>
        <w:t>Participation</w:t>
      </w:r>
    </w:p>
    <w:p w14:paraId="183367C1" w14:textId="558D6C74" w:rsidR="00234DA9" w:rsidRPr="00C6373D" w:rsidRDefault="00234DA9" w:rsidP="00C6373D">
      <w:pPr>
        <w:pStyle w:val="Normal1style"/>
        <w:numPr>
          <w:ilvl w:val="0"/>
          <w:numId w:val="27"/>
        </w:numPr>
        <w:spacing w:before="120"/>
        <w:rPr>
          <w:bCs/>
          <w:i/>
          <w:color w:val="000000" w:themeColor="text1"/>
        </w:rPr>
      </w:pPr>
      <w:r w:rsidRPr="00C6373D">
        <w:rPr>
          <w:bCs/>
          <w:i/>
          <w:color w:val="000000" w:themeColor="text1"/>
        </w:rPr>
        <w:t>Ingria Jones</w:t>
      </w:r>
      <w:r w:rsidR="00C6373D" w:rsidRPr="00C6373D">
        <w:rPr>
          <w:bCs/>
          <w:i/>
          <w:color w:val="000000" w:themeColor="text1"/>
        </w:rPr>
        <w:t>, Dept. of Ecology</w:t>
      </w:r>
    </w:p>
    <w:p w14:paraId="5539EA1D" w14:textId="7D0AAF70" w:rsidR="00234DA9" w:rsidRPr="00C6373D" w:rsidRDefault="00234DA9" w:rsidP="00C6373D">
      <w:pPr>
        <w:pStyle w:val="Normal1style"/>
        <w:numPr>
          <w:ilvl w:val="0"/>
          <w:numId w:val="27"/>
        </w:numPr>
        <w:spacing w:before="120"/>
        <w:rPr>
          <w:bCs/>
          <w:i/>
          <w:color w:val="000000" w:themeColor="text1"/>
        </w:rPr>
      </w:pPr>
      <w:r w:rsidRPr="00C6373D">
        <w:rPr>
          <w:bCs/>
          <w:i/>
          <w:color w:val="000000" w:themeColor="text1"/>
        </w:rPr>
        <w:t>John Covert</w:t>
      </w:r>
      <w:r w:rsidR="00C6373D" w:rsidRPr="00C6373D">
        <w:rPr>
          <w:bCs/>
          <w:i/>
          <w:color w:val="000000" w:themeColor="text1"/>
        </w:rPr>
        <w:t>, Dept. of Ecology</w:t>
      </w:r>
    </w:p>
    <w:p w14:paraId="05EEEB8D" w14:textId="59A0E489" w:rsidR="00234DA9" w:rsidRPr="00C6373D" w:rsidRDefault="00234DA9" w:rsidP="00C6373D">
      <w:pPr>
        <w:pStyle w:val="Normal1style"/>
        <w:numPr>
          <w:ilvl w:val="0"/>
          <w:numId w:val="27"/>
        </w:numPr>
        <w:spacing w:before="120"/>
        <w:rPr>
          <w:bCs/>
          <w:i/>
          <w:color w:val="000000" w:themeColor="text1"/>
        </w:rPr>
      </w:pPr>
      <w:r w:rsidRPr="00C6373D">
        <w:rPr>
          <w:bCs/>
          <w:i/>
          <w:color w:val="000000" w:themeColor="text1"/>
        </w:rPr>
        <w:t>Paulina Levy</w:t>
      </w:r>
      <w:r w:rsidR="00C6373D" w:rsidRPr="00C6373D">
        <w:rPr>
          <w:bCs/>
          <w:i/>
          <w:color w:val="000000" w:themeColor="text1"/>
        </w:rPr>
        <w:t>, Dept. of Ecology</w:t>
      </w:r>
    </w:p>
    <w:p w14:paraId="1F572B6F" w14:textId="178A300A" w:rsidR="00234DA9" w:rsidRPr="00C6373D" w:rsidRDefault="00234DA9" w:rsidP="00C6373D">
      <w:pPr>
        <w:pStyle w:val="Normal1style"/>
        <w:numPr>
          <w:ilvl w:val="0"/>
          <w:numId w:val="27"/>
        </w:numPr>
        <w:spacing w:before="120"/>
        <w:rPr>
          <w:bCs/>
          <w:i/>
          <w:color w:val="000000" w:themeColor="text1"/>
        </w:rPr>
      </w:pPr>
      <w:r w:rsidRPr="00C6373D">
        <w:rPr>
          <w:bCs/>
          <w:i/>
          <w:color w:val="000000" w:themeColor="text1"/>
        </w:rPr>
        <w:t>Bridget August</w:t>
      </w:r>
      <w:r w:rsidR="00C6373D" w:rsidRPr="00C6373D">
        <w:rPr>
          <w:bCs/>
          <w:i/>
          <w:color w:val="000000" w:themeColor="text1"/>
        </w:rPr>
        <w:t>, GeoEngineers</w:t>
      </w:r>
    </w:p>
    <w:p w14:paraId="1CF0C841" w14:textId="1D231261" w:rsidR="00234DA9" w:rsidRPr="00C6373D" w:rsidRDefault="00234DA9" w:rsidP="00C6373D">
      <w:pPr>
        <w:pStyle w:val="Normal1style"/>
        <w:numPr>
          <w:ilvl w:val="0"/>
          <w:numId w:val="27"/>
        </w:numPr>
        <w:spacing w:before="120"/>
        <w:rPr>
          <w:bCs/>
          <w:i/>
          <w:color w:val="000000" w:themeColor="text1"/>
        </w:rPr>
      </w:pPr>
      <w:r w:rsidRPr="00C6373D">
        <w:rPr>
          <w:bCs/>
          <w:i/>
          <w:color w:val="000000" w:themeColor="text1"/>
        </w:rPr>
        <w:t>Patty Dillon</w:t>
      </w:r>
      <w:r w:rsidR="00C6373D" w:rsidRPr="00C6373D">
        <w:rPr>
          <w:bCs/>
          <w:i/>
          <w:color w:val="000000" w:themeColor="text1"/>
        </w:rPr>
        <w:t>, NHC</w:t>
      </w:r>
    </w:p>
    <w:p w14:paraId="20802E5E" w14:textId="691B4609" w:rsidR="005A5D4A" w:rsidRPr="00C6373D" w:rsidRDefault="005A5D4A" w:rsidP="00C6373D">
      <w:pPr>
        <w:pStyle w:val="Normal1style"/>
        <w:numPr>
          <w:ilvl w:val="0"/>
          <w:numId w:val="27"/>
        </w:numPr>
        <w:spacing w:before="120"/>
        <w:rPr>
          <w:bCs/>
          <w:i/>
          <w:color w:val="000000" w:themeColor="text1"/>
        </w:rPr>
      </w:pPr>
      <w:r w:rsidRPr="00C6373D">
        <w:rPr>
          <w:bCs/>
          <w:i/>
          <w:color w:val="000000" w:themeColor="text1"/>
        </w:rPr>
        <w:t xml:space="preserve">Alexa </w:t>
      </w:r>
      <w:r w:rsidR="007F1A44" w:rsidRPr="00C6373D">
        <w:rPr>
          <w:bCs/>
          <w:i/>
          <w:color w:val="000000" w:themeColor="text1"/>
        </w:rPr>
        <w:t>Ramos</w:t>
      </w:r>
      <w:r w:rsidR="00C6373D" w:rsidRPr="00C6373D">
        <w:rPr>
          <w:bCs/>
          <w:i/>
          <w:color w:val="000000" w:themeColor="text1"/>
        </w:rPr>
        <w:t>, Snohomish County</w:t>
      </w:r>
    </w:p>
    <w:p w14:paraId="19ED166B" w14:textId="7F6A7277" w:rsidR="005A5D4A" w:rsidRPr="00C6373D" w:rsidRDefault="00C6373D" w:rsidP="00C6373D">
      <w:pPr>
        <w:pStyle w:val="Normal1style"/>
        <w:numPr>
          <w:ilvl w:val="0"/>
          <w:numId w:val="27"/>
        </w:numPr>
        <w:spacing w:before="120"/>
        <w:rPr>
          <w:bCs/>
          <w:i/>
          <w:color w:val="000000" w:themeColor="text1"/>
        </w:rPr>
      </w:pPr>
      <w:r w:rsidRPr="00C6373D">
        <w:rPr>
          <w:bCs/>
          <w:i/>
          <w:color w:val="000000" w:themeColor="text1"/>
        </w:rPr>
        <w:t>Dar</w:t>
      </w:r>
      <w:r w:rsidR="007F1A44" w:rsidRPr="00C6373D">
        <w:rPr>
          <w:bCs/>
          <w:i/>
          <w:color w:val="000000" w:themeColor="text1"/>
        </w:rPr>
        <w:t>yl Williams</w:t>
      </w:r>
      <w:r w:rsidRPr="00C6373D">
        <w:rPr>
          <w:bCs/>
          <w:i/>
          <w:color w:val="000000" w:themeColor="text1"/>
        </w:rPr>
        <w:t>, Tulalip Tribes</w:t>
      </w:r>
    </w:p>
    <w:p w14:paraId="2184A32F" w14:textId="1F905566" w:rsidR="007F1A44" w:rsidRPr="00C6373D" w:rsidRDefault="007F1A44" w:rsidP="00C6373D">
      <w:pPr>
        <w:pStyle w:val="Normal1style"/>
        <w:numPr>
          <w:ilvl w:val="0"/>
          <w:numId w:val="27"/>
        </w:numPr>
        <w:spacing w:before="120"/>
        <w:rPr>
          <w:bCs/>
          <w:i/>
          <w:color w:val="000000" w:themeColor="text1"/>
        </w:rPr>
      </w:pPr>
      <w:r w:rsidRPr="00C6373D">
        <w:rPr>
          <w:bCs/>
          <w:i/>
          <w:color w:val="000000" w:themeColor="text1"/>
        </w:rPr>
        <w:t>Kirk Lakey</w:t>
      </w:r>
      <w:r w:rsidR="00C6373D" w:rsidRPr="00C6373D">
        <w:rPr>
          <w:bCs/>
          <w:i/>
          <w:color w:val="000000" w:themeColor="text1"/>
        </w:rPr>
        <w:t>, Dept. of Fish and Wildlife</w:t>
      </w:r>
    </w:p>
    <w:p w14:paraId="52672FD3" w14:textId="35D10EC3" w:rsidR="007F1A44" w:rsidRPr="00C6373D" w:rsidRDefault="007F1A44" w:rsidP="00C6373D">
      <w:pPr>
        <w:pStyle w:val="Normal1style"/>
        <w:numPr>
          <w:ilvl w:val="0"/>
          <w:numId w:val="27"/>
        </w:numPr>
        <w:spacing w:before="120"/>
        <w:rPr>
          <w:bCs/>
          <w:i/>
          <w:color w:val="000000" w:themeColor="text1"/>
        </w:rPr>
      </w:pPr>
      <w:r w:rsidRPr="00C6373D">
        <w:rPr>
          <w:bCs/>
          <w:i/>
          <w:color w:val="000000" w:themeColor="text1"/>
        </w:rPr>
        <w:t>Joe Hovenkotter</w:t>
      </w:r>
      <w:r w:rsidR="00C6373D" w:rsidRPr="00C6373D">
        <w:rPr>
          <w:bCs/>
          <w:i/>
          <w:color w:val="000000" w:themeColor="text1"/>
        </w:rPr>
        <w:t>, King County</w:t>
      </w:r>
    </w:p>
    <w:p w14:paraId="3DD53019" w14:textId="099AAE7A" w:rsidR="007F1A44" w:rsidRPr="00C6373D" w:rsidRDefault="007F1A44" w:rsidP="00C6373D">
      <w:pPr>
        <w:pStyle w:val="Normal1style"/>
        <w:numPr>
          <w:ilvl w:val="0"/>
          <w:numId w:val="27"/>
        </w:numPr>
        <w:spacing w:before="120"/>
        <w:rPr>
          <w:bCs/>
          <w:i/>
          <w:color w:val="000000" w:themeColor="text1"/>
        </w:rPr>
      </w:pPr>
      <w:r w:rsidRPr="00C6373D">
        <w:rPr>
          <w:bCs/>
          <w:i/>
          <w:color w:val="000000" w:themeColor="text1"/>
        </w:rPr>
        <w:t>Julie Lewis</w:t>
      </w:r>
      <w:r w:rsidR="00C6373D" w:rsidRPr="00C6373D">
        <w:rPr>
          <w:bCs/>
          <w:i/>
          <w:color w:val="000000" w:themeColor="text1"/>
        </w:rPr>
        <w:t>, Snoqualmie Tribe</w:t>
      </w:r>
    </w:p>
    <w:p w14:paraId="1CA986AB" w14:textId="4DE342E0" w:rsidR="00C437F2" w:rsidRPr="00C6373D" w:rsidRDefault="00C437F2" w:rsidP="00C6373D">
      <w:pPr>
        <w:pStyle w:val="Normal1style"/>
        <w:numPr>
          <w:ilvl w:val="0"/>
          <w:numId w:val="27"/>
        </w:numPr>
        <w:spacing w:before="120"/>
        <w:rPr>
          <w:bCs/>
          <w:i/>
          <w:color w:val="000000" w:themeColor="text1"/>
        </w:rPr>
      </w:pPr>
      <w:r w:rsidRPr="00C6373D">
        <w:rPr>
          <w:bCs/>
          <w:i/>
          <w:color w:val="000000" w:themeColor="text1"/>
        </w:rPr>
        <w:t>Keith Binkley</w:t>
      </w:r>
      <w:r w:rsidR="00C6373D" w:rsidRPr="00C6373D">
        <w:rPr>
          <w:bCs/>
          <w:i/>
          <w:color w:val="000000" w:themeColor="text1"/>
        </w:rPr>
        <w:t>, Snohomish PUD</w:t>
      </w:r>
    </w:p>
    <w:p w14:paraId="53B23306" w14:textId="344D00F6" w:rsidR="007F1A44" w:rsidRPr="00C6373D" w:rsidRDefault="007F1A44" w:rsidP="00C6373D">
      <w:pPr>
        <w:pStyle w:val="Normal1style"/>
        <w:numPr>
          <w:ilvl w:val="0"/>
          <w:numId w:val="27"/>
        </w:numPr>
        <w:spacing w:before="120"/>
        <w:rPr>
          <w:bCs/>
          <w:i/>
          <w:color w:val="000000" w:themeColor="text1"/>
        </w:rPr>
      </w:pPr>
      <w:r w:rsidRPr="00C6373D">
        <w:rPr>
          <w:bCs/>
          <w:i/>
          <w:color w:val="000000" w:themeColor="text1"/>
        </w:rPr>
        <w:t>Matt B</w:t>
      </w:r>
      <w:r w:rsidR="00C437F2" w:rsidRPr="00C6373D">
        <w:rPr>
          <w:bCs/>
          <w:i/>
          <w:color w:val="000000" w:themeColor="text1"/>
        </w:rPr>
        <w:t>aerwalde</w:t>
      </w:r>
      <w:r w:rsidR="00C6373D" w:rsidRPr="00C6373D">
        <w:rPr>
          <w:bCs/>
          <w:i/>
          <w:color w:val="000000" w:themeColor="text1"/>
        </w:rPr>
        <w:t>, Snoqualmie Tribe</w:t>
      </w:r>
    </w:p>
    <w:p w14:paraId="53143456" w14:textId="6E5E2EB7" w:rsidR="007F1A44" w:rsidRPr="00C6373D" w:rsidRDefault="00C437F2" w:rsidP="00C6373D">
      <w:pPr>
        <w:pStyle w:val="Normal1style"/>
        <w:numPr>
          <w:ilvl w:val="0"/>
          <w:numId w:val="27"/>
        </w:numPr>
        <w:spacing w:before="120"/>
        <w:rPr>
          <w:bCs/>
          <w:i/>
          <w:color w:val="000000" w:themeColor="text1"/>
        </w:rPr>
      </w:pPr>
      <w:r w:rsidRPr="00C6373D">
        <w:rPr>
          <w:bCs/>
          <w:i/>
          <w:color w:val="000000" w:themeColor="text1"/>
        </w:rPr>
        <w:t>Mike Wolanek</w:t>
      </w:r>
      <w:r w:rsidR="00C6373D" w:rsidRPr="00C6373D">
        <w:rPr>
          <w:bCs/>
          <w:i/>
          <w:color w:val="000000" w:themeColor="text1"/>
        </w:rPr>
        <w:t>, City of Arlington</w:t>
      </w:r>
    </w:p>
    <w:p w14:paraId="2CA2163F" w14:textId="11025491" w:rsidR="007F1A44" w:rsidRPr="00C6373D" w:rsidRDefault="007F1A44" w:rsidP="00C6373D">
      <w:pPr>
        <w:pStyle w:val="Normal1style"/>
        <w:numPr>
          <w:ilvl w:val="0"/>
          <w:numId w:val="27"/>
        </w:numPr>
        <w:spacing w:before="120"/>
        <w:rPr>
          <w:bCs/>
          <w:i/>
          <w:color w:val="000000" w:themeColor="text1"/>
        </w:rPr>
      </w:pPr>
      <w:r w:rsidRPr="00C6373D">
        <w:rPr>
          <w:bCs/>
          <w:i/>
          <w:color w:val="000000" w:themeColor="text1"/>
        </w:rPr>
        <w:t>Paul</w:t>
      </w:r>
      <w:r w:rsidR="00C437F2" w:rsidRPr="00C6373D">
        <w:rPr>
          <w:bCs/>
          <w:i/>
          <w:color w:val="000000" w:themeColor="text1"/>
        </w:rPr>
        <w:t xml:space="preserve"> Faulds</w:t>
      </w:r>
      <w:r w:rsidR="00C6373D" w:rsidRPr="00C6373D">
        <w:rPr>
          <w:bCs/>
          <w:i/>
          <w:color w:val="000000" w:themeColor="text1"/>
        </w:rPr>
        <w:t>, City of Seattle</w:t>
      </w:r>
    </w:p>
    <w:p w14:paraId="7F0D6AAE" w14:textId="53ABE33C" w:rsidR="00872774" w:rsidRDefault="007A79D7" w:rsidP="00223047">
      <w:pPr>
        <w:pStyle w:val="Heading1"/>
      </w:pPr>
      <w:r>
        <w:t>Growth projections by subbasin</w:t>
      </w:r>
    </w:p>
    <w:p w14:paraId="180C5298" w14:textId="2B2D193D" w:rsidR="00615984" w:rsidRPr="00B378FA" w:rsidRDefault="00872774" w:rsidP="00C6373D">
      <w:pPr>
        <w:pStyle w:val="ListParagraph"/>
        <w:numPr>
          <w:ilvl w:val="0"/>
          <w:numId w:val="28"/>
        </w:numPr>
        <w:ind w:left="360"/>
        <w:rPr>
          <w:rFonts w:cstheme="minorBidi"/>
          <w:bCs/>
          <w:color w:val="000000" w:themeColor="text1"/>
        </w:rPr>
      </w:pPr>
      <w:r w:rsidRPr="0044059E">
        <w:rPr>
          <w:bCs/>
          <w:color w:val="000000" w:themeColor="text1"/>
        </w:rPr>
        <w:t xml:space="preserve">Objective: </w:t>
      </w:r>
      <w:r w:rsidR="0044059E">
        <w:rPr>
          <w:bCs/>
          <w:color w:val="000000" w:themeColor="text1"/>
        </w:rPr>
        <w:t xml:space="preserve">Understand how </w:t>
      </w:r>
      <w:r w:rsidR="00223047">
        <w:rPr>
          <w:bCs/>
          <w:color w:val="000000" w:themeColor="text1"/>
        </w:rPr>
        <w:t>20-year growth projection</w:t>
      </w:r>
      <w:r w:rsidR="007A79D7">
        <w:rPr>
          <w:bCs/>
          <w:color w:val="000000" w:themeColor="text1"/>
        </w:rPr>
        <w:t xml:space="preserve"> was reallocated by subbasin</w:t>
      </w:r>
    </w:p>
    <w:p w14:paraId="3347FDE9" w14:textId="6BE4AD7B" w:rsidR="001E2127" w:rsidRDefault="001E2127" w:rsidP="00C6373D">
      <w:pPr>
        <w:rPr>
          <w:rFonts w:cstheme="minorBidi"/>
          <w:bCs/>
        </w:rPr>
      </w:pPr>
    </w:p>
    <w:p w14:paraId="3EE03FB8" w14:textId="79FB290F" w:rsidR="001E2127" w:rsidRDefault="001E2127" w:rsidP="00C6373D">
      <w:pPr>
        <w:rPr>
          <w:rFonts w:cstheme="minorBidi"/>
          <w:bCs/>
        </w:rPr>
      </w:pPr>
      <w:r>
        <w:rPr>
          <w:rFonts w:cstheme="minorBidi"/>
          <w:bCs/>
        </w:rPr>
        <w:t>Reference materials</w:t>
      </w:r>
    </w:p>
    <w:p w14:paraId="33632541" w14:textId="6EBF8943" w:rsidR="001E2127" w:rsidRDefault="00B378FA" w:rsidP="00B378FA">
      <w:pPr>
        <w:pStyle w:val="ListParagraph"/>
        <w:numPr>
          <w:ilvl w:val="0"/>
          <w:numId w:val="40"/>
        </w:numPr>
        <w:ind w:left="360"/>
        <w:rPr>
          <w:rFonts w:cstheme="minorBidi"/>
          <w:bCs/>
        </w:rPr>
      </w:pPr>
      <w:r>
        <w:rPr>
          <w:rFonts w:cstheme="minorBidi"/>
          <w:bCs/>
        </w:rPr>
        <w:t>Growth projection workbook (on BOX</w:t>
      </w:r>
      <w:r w:rsidR="00EF00A3">
        <w:rPr>
          <w:rFonts w:cstheme="minorBidi"/>
          <w:bCs/>
        </w:rPr>
        <w:t xml:space="preserve"> </w:t>
      </w:r>
      <w:hyperlink r:id="rId14" w:history="1">
        <w:r w:rsidR="00EF00A3" w:rsidRPr="00EF00A3">
          <w:rPr>
            <w:rStyle w:val="Hyperlink"/>
            <w:rFonts w:cstheme="minorBidi"/>
            <w:bCs/>
          </w:rPr>
          <w:t>here</w:t>
        </w:r>
      </w:hyperlink>
      <w:r>
        <w:rPr>
          <w:rFonts w:cstheme="minorBidi"/>
          <w:bCs/>
        </w:rPr>
        <w:t>)</w:t>
      </w:r>
    </w:p>
    <w:p w14:paraId="145393D0" w14:textId="3F3E784F" w:rsidR="00B378FA" w:rsidRPr="001E2127" w:rsidRDefault="00B378FA" w:rsidP="00B378FA">
      <w:pPr>
        <w:pStyle w:val="ListParagraph"/>
        <w:numPr>
          <w:ilvl w:val="0"/>
          <w:numId w:val="40"/>
        </w:numPr>
        <w:ind w:left="360"/>
        <w:rPr>
          <w:rFonts w:cstheme="minorBidi"/>
          <w:bCs/>
        </w:rPr>
      </w:pPr>
      <w:r>
        <w:rPr>
          <w:rFonts w:cstheme="minorBidi"/>
          <w:bCs/>
        </w:rPr>
        <w:t>Growth projections by subbasin map (on BOX</w:t>
      </w:r>
      <w:r w:rsidR="00EF00A3">
        <w:rPr>
          <w:rFonts w:cstheme="minorBidi"/>
          <w:bCs/>
        </w:rPr>
        <w:t xml:space="preserve"> </w:t>
      </w:r>
      <w:hyperlink r:id="rId15" w:history="1">
        <w:r w:rsidR="00EF00A3" w:rsidRPr="00EF00A3">
          <w:rPr>
            <w:rStyle w:val="Hyperlink"/>
            <w:rFonts w:cstheme="minorBidi"/>
            <w:bCs/>
          </w:rPr>
          <w:t>here</w:t>
        </w:r>
      </w:hyperlink>
      <w:r>
        <w:rPr>
          <w:rFonts w:cstheme="minorBidi"/>
          <w:bCs/>
        </w:rPr>
        <w:t>)</w:t>
      </w:r>
    </w:p>
    <w:p w14:paraId="6E8ACDFD" w14:textId="7C2E0C54" w:rsidR="001E2127" w:rsidRDefault="001E2127" w:rsidP="00C6373D">
      <w:pPr>
        <w:rPr>
          <w:rFonts w:cstheme="minorBidi"/>
          <w:bCs/>
        </w:rPr>
      </w:pPr>
    </w:p>
    <w:p w14:paraId="0D9BE42F" w14:textId="308DA7AE" w:rsidR="00B378FA" w:rsidRPr="00C6373D" w:rsidRDefault="00B378FA" w:rsidP="00C6373D">
      <w:pPr>
        <w:rPr>
          <w:rFonts w:cstheme="minorBidi"/>
          <w:bCs/>
        </w:rPr>
      </w:pPr>
      <w:r w:rsidRPr="00C6373D">
        <w:rPr>
          <w:bCs/>
        </w:rPr>
        <w:t>Bridget provided an o</w:t>
      </w:r>
      <w:r>
        <w:rPr>
          <w:bCs/>
        </w:rPr>
        <w:t>verview of how technical consultants</w:t>
      </w:r>
      <w:r w:rsidRPr="00C6373D">
        <w:rPr>
          <w:bCs/>
        </w:rPr>
        <w:t xml:space="preserve"> reallocated growth projections by subbasin</w:t>
      </w:r>
      <w:r>
        <w:rPr>
          <w:rFonts w:cstheme="minorBidi"/>
          <w:bCs/>
        </w:rPr>
        <w:t>.</w:t>
      </w:r>
    </w:p>
    <w:p w14:paraId="263A61CE" w14:textId="6A1458D5" w:rsidR="00C437F2" w:rsidRDefault="00C437F2" w:rsidP="00C6373D">
      <w:pPr>
        <w:pStyle w:val="ListParagraph"/>
        <w:numPr>
          <w:ilvl w:val="0"/>
          <w:numId w:val="28"/>
        </w:numPr>
        <w:rPr>
          <w:rFonts w:cstheme="minorBidi"/>
          <w:bCs/>
        </w:rPr>
      </w:pPr>
      <w:r>
        <w:rPr>
          <w:rFonts w:cstheme="minorBidi"/>
          <w:bCs/>
        </w:rPr>
        <w:t>A</w:t>
      </w:r>
      <w:r w:rsidR="00C6373D">
        <w:rPr>
          <w:rFonts w:cstheme="minorBidi"/>
          <w:bCs/>
        </w:rPr>
        <w:t xml:space="preserve">fter the Committee </w:t>
      </w:r>
      <w:r>
        <w:rPr>
          <w:rFonts w:cstheme="minorBidi"/>
          <w:bCs/>
        </w:rPr>
        <w:t>delineate</w:t>
      </w:r>
      <w:r w:rsidR="0013152F">
        <w:rPr>
          <w:rFonts w:cstheme="minorBidi"/>
          <w:bCs/>
        </w:rPr>
        <w:t xml:space="preserve">d subbasins, </w:t>
      </w:r>
      <w:r w:rsidR="00C6373D">
        <w:rPr>
          <w:rFonts w:cstheme="minorBidi"/>
          <w:bCs/>
        </w:rPr>
        <w:t>technical consultants re-grouped growth</w:t>
      </w:r>
      <w:r w:rsidR="0013152F">
        <w:rPr>
          <w:rFonts w:cstheme="minorBidi"/>
          <w:bCs/>
        </w:rPr>
        <w:t xml:space="preserve"> projections</w:t>
      </w:r>
      <w:r>
        <w:rPr>
          <w:rFonts w:cstheme="minorBidi"/>
          <w:bCs/>
        </w:rPr>
        <w:t xml:space="preserve"> from stream</w:t>
      </w:r>
      <w:r w:rsidR="00830546">
        <w:rPr>
          <w:rFonts w:cstheme="minorBidi"/>
          <w:bCs/>
        </w:rPr>
        <w:t xml:space="preserve"> </w:t>
      </w:r>
      <w:r>
        <w:rPr>
          <w:rFonts w:cstheme="minorBidi"/>
          <w:bCs/>
        </w:rPr>
        <w:t>basins</w:t>
      </w:r>
      <w:r w:rsidR="0013152F">
        <w:rPr>
          <w:rFonts w:cstheme="minorBidi"/>
          <w:bCs/>
        </w:rPr>
        <w:t xml:space="preserve"> or HUC12</w:t>
      </w:r>
      <w:r w:rsidR="00F25EA8">
        <w:rPr>
          <w:rFonts w:cstheme="minorBidi"/>
          <w:bCs/>
        </w:rPr>
        <w:t xml:space="preserve"> to subbasins. </w:t>
      </w:r>
    </w:p>
    <w:p w14:paraId="2A9E6F89" w14:textId="5F6DA9E8" w:rsidR="00F25EA8" w:rsidRDefault="00C6373D" w:rsidP="00F25EA8">
      <w:pPr>
        <w:pStyle w:val="ListParagraph"/>
        <w:numPr>
          <w:ilvl w:val="0"/>
          <w:numId w:val="28"/>
        </w:numPr>
        <w:rPr>
          <w:rFonts w:cstheme="minorBidi"/>
          <w:bCs/>
        </w:rPr>
      </w:pPr>
      <w:r>
        <w:rPr>
          <w:rFonts w:cstheme="minorBidi"/>
          <w:bCs/>
        </w:rPr>
        <w:t xml:space="preserve">King County reallocated historic growth by the Committee subbasins and </w:t>
      </w:r>
      <w:r w:rsidR="00F25EA8">
        <w:rPr>
          <w:rFonts w:cstheme="minorBidi"/>
          <w:bCs/>
        </w:rPr>
        <w:t xml:space="preserve">reanalyzed water use by subbasin (public, private, and other). They used GeoEngineer’s method to estimate the 20-year growth projection by subbasin based on permits per year, percentage of permits on PE wells, and adding a 6% error to account for the other permits where the water source could not be identified. </w:t>
      </w:r>
    </w:p>
    <w:p w14:paraId="1CB6CE53" w14:textId="2FE7B3EB" w:rsidR="00F25EA8" w:rsidRDefault="00F25EA8" w:rsidP="00F25EA8">
      <w:pPr>
        <w:pStyle w:val="ListParagraph"/>
        <w:numPr>
          <w:ilvl w:val="0"/>
          <w:numId w:val="28"/>
        </w:numPr>
        <w:rPr>
          <w:rFonts w:cstheme="minorBidi"/>
          <w:bCs/>
        </w:rPr>
      </w:pPr>
      <w:r>
        <w:rPr>
          <w:rFonts w:cstheme="minorBidi"/>
          <w:bCs/>
        </w:rPr>
        <w:t>King County</w:t>
      </w:r>
      <w:r w:rsidRPr="00F25EA8">
        <w:rPr>
          <w:rFonts w:cstheme="minorBidi"/>
          <w:bCs/>
        </w:rPr>
        <w:t xml:space="preserve"> also </w:t>
      </w:r>
      <w:r>
        <w:rPr>
          <w:rFonts w:cstheme="minorBidi"/>
          <w:bCs/>
        </w:rPr>
        <w:t>analyzed</w:t>
      </w:r>
      <w:r w:rsidRPr="00F25EA8">
        <w:rPr>
          <w:rFonts w:cstheme="minorBidi"/>
          <w:bCs/>
        </w:rPr>
        <w:t xml:space="preserve"> available parcels and DUs by subbasin. They analyzed whether those parcels and DUs were located inside or outside water district boundaries, and the number of parcels and DUs anticipated to be served by public connections or PE wells, based on past </w:t>
      </w:r>
      <w:r w:rsidR="00830546">
        <w:rPr>
          <w:rFonts w:cstheme="minorBidi"/>
          <w:bCs/>
        </w:rPr>
        <w:t>connection</w:t>
      </w:r>
      <w:r w:rsidR="00830546" w:rsidRPr="00F25EA8">
        <w:rPr>
          <w:rFonts w:cstheme="minorBidi"/>
          <w:bCs/>
        </w:rPr>
        <w:t xml:space="preserve"> </w:t>
      </w:r>
      <w:r w:rsidRPr="00F25EA8">
        <w:rPr>
          <w:rFonts w:cstheme="minorBidi"/>
          <w:bCs/>
        </w:rPr>
        <w:t xml:space="preserve">rates. </w:t>
      </w:r>
      <w:r>
        <w:rPr>
          <w:rFonts w:cstheme="minorBidi"/>
          <w:bCs/>
        </w:rPr>
        <w:t xml:space="preserve">King County compared the available parcels and DUs to the 20-year projection and identified a shortfall of 22 DUs in the Upper Snoqualmie Subbasin. They reallocated the projected 22 PE wells to Snoqualmie South. </w:t>
      </w:r>
    </w:p>
    <w:p w14:paraId="7F943F66" w14:textId="008AF9D4" w:rsidR="00F25EA8" w:rsidRDefault="00F25EA8" w:rsidP="00F25EA8">
      <w:pPr>
        <w:pStyle w:val="ListParagraph"/>
        <w:numPr>
          <w:ilvl w:val="0"/>
          <w:numId w:val="28"/>
        </w:numPr>
        <w:rPr>
          <w:rFonts w:cstheme="minorBidi"/>
          <w:bCs/>
        </w:rPr>
      </w:pPr>
      <w:r>
        <w:rPr>
          <w:rFonts w:cstheme="minorBidi"/>
          <w:bCs/>
        </w:rPr>
        <w:lastRenderedPageBreak/>
        <w:t xml:space="preserve">GeoEngineers reviewed King County’s analysis by subbasin and confirmed that the reallocation of growth from Upper Snoqualmie to Snoqualmie South was reasonable for the following reasons: </w:t>
      </w:r>
    </w:p>
    <w:p w14:paraId="3B233BF3" w14:textId="77777777" w:rsidR="00A72FD6" w:rsidRDefault="00AE176B" w:rsidP="00A72FD6">
      <w:pPr>
        <w:pStyle w:val="ListParagraph"/>
        <w:numPr>
          <w:ilvl w:val="1"/>
          <w:numId w:val="28"/>
        </w:numPr>
        <w:rPr>
          <w:rFonts w:cstheme="minorBidi"/>
          <w:bCs/>
        </w:rPr>
      </w:pPr>
      <w:r w:rsidRPr="00F25EA8">
        <w:rPr>
          <w:rFonts w:cstheme="minorBidi"/>
          <w:bCs/>
        </w:rPr>
        <w:t>Snoqualmie South has much more avail</w:t>
      </w:r>
      <w:r w:rsidR="0013152F" w:rsidRPr="00F25EA8">
        <w:rPr>
          <w:rFonts w:cstheme="minorBidi"/>
          <w:bCs/>
        </w:rPr>
        <w:t>able capac</w:t>
      </w:r>
      <w:r w:rsidR="00F25EA8">
        <w:rPr>
          <w:rFonts w:cstheme="minorBidi"/>
          <w:bCs/>
        </w:rPr>
        <w:t xml:space="preserve">ity for future growth, whereas </w:t>
      </w:r>
      <w:r w:rsidR="0013152F" w:rsidRPr="00F25EA8">
        <w:rPr>
          <w:rFonts w:cstheme="minorBidi"/>
          <w:bCs/>
        </w:rPr>
        <w:t>Upper Snoqualmie did not have available parcels</w:t>
      </w:r>
      <w:r w:rsidR="00F25EA8">
        <w:rPr>
          <w:rFonts w:cstheme="minorBidi"/>
          <w:bCs/>
        </w:rPr>
        <w:t>.</w:t>
      </w:r>
      <w:r w:rsidRPr="00F25EA8">
        <w:rPr>
          <w:rFonts w:cstheme="minorBidi"/>
          <w:bCs/>
        </w:rPr>
        <w:t xml:space="preserve"> </w:t>
      </w:r>
    </w:p>
    <w:p w14:paraId="16085AC4" w14:textId="77777777" w:rsidR="00A72FD6" w:rsidRPr="00A72FD6" w:rsidRDefault="00A72FD6" w:rsidP="00A72FD6">
      <w:pPr>
        <w:pStyle w:val="ListParagraph"/>
        <w:numPr>
          <w:ilvl w:val="1"/>
          <w:numId w:val="28"/>
        </w:numPr>
        <w:rPr>
          <w:rFonts w:cstheme="minorBidi"/>
          <w:bCs/>
        </w:rPr>
      </w:pPr>
      <w:r w:rsidRPr="00A72FD6">
        <w:rPr>
          <w:rFonts w:eastAsia="Times New Roman"/>
        </w:rPr>
        <w:t>Growth within the Snoqualmie South drainage basins relies almost exclusively on PE wells, in particular in the Griffen, Tokul and Lower Tolt drainages so it makes sense that future growth would also be on PE well connections.</w:t>
      </w:r>
    </w:p>
    <w:p w14:paraId="6AAABB33" w14:textId="77777777" w:rsidR="00A72FD6" w:rsidRPr="00A72FD6" w:rsidRDefault="00A72FD6" w:rsidP="00A72FD6">
      <w:pPr>
        <w:pStyle w:val="ListParagraph"/>
        <w:numPr>
          <w:ilvl w:val="1"/>
          <w:numId w:val="28"/>
        </w:numPr>
        <w:rPr>
          <w:rFonts w:cstheme="minorBidi"/>
          <w:bCs/>
        </w:rPr>
      </w:pPr>
      <w:r w:rsidRPr="00A72FD6">
        <w:rPr>
          <w:rFonts w:eastAsia="Times New Roman"/>
        </w:rPr>
        <w:t>Reallocation to Patterson would put that subbasin over capacity and almost 70% of past growth here is on public water.</w:t>
      </w:r>
    </w:p>
    <w:p w14:paraId="1325E99F" w14:textId="0155BE5E" w:rsidR="00AE176B" w:rsidRPr="004B49D8" w:rsidRDefault="00A72FD6" w:rsidP="00A72FD6">
      <w:pPr>
        <w:pStyle w:val="ListParagraph"/>
        <w:numPr>
          <w:ilvl w:val="1"/>
          <w:numId w:val="28"/>
        </w:numPr>
        <w:rPr>
          <w:rFonts w:cstheme="minorBidi"/>
          <w:bCs/>
        </w:rPr>
      </w:pPr>
      <w:r w:rsidRPr="00A72FD6">
        <w:rPr>
          <w:rFonts w:eastAsia="Times New Roman"/>
        </w:rPr>
        <w:t>Reallocation to Raging River would also put that subbasin close to capacity.</w:t>
      </w:r>
    </w:p>
    <w:p w14:paraId="5174D7DE" w14:textId="66EE10A4" w:rsidR="004B49D8" w:rsidRPr="004B49D8" w:rsidRDefault="004B49D8" w:rsidP="004B49D8">
      <w:pPr>
        <w:pStyle w:val="ListParagraph"/>
        <w:numPr>
          <w:ilvl w:val="0"/>
          <w:numId w:val="28"/>
        </w:numPr>
        <w:rPr>
          <w:rFonts w:cstheme="minorBidi"/>
          <w:bCs/>
        </w:rPr>
      </w:pPr>
      <w:r>
        <w:rPr>
          <w:rFonts w:cstheme="minorBidi"/>
          <w:bCs/>
        </w:rPr>
        <w:t>GeoEngineers re-grouped growth projections by HUC12 in the Snoh</w:t>
      </w:r>
      <w:r w:rsidR="00DC2828">
        <w:rPr>
          <w:rFonts w:cstheme="minorBidi"/>
          <w:bCs/>
        </w:rPr>
        <w:t xml:space="preserve">omish County portion of WRIA 7. </w:t>
      </w:r>
    </w:p>
    <w:p w14:paraId="00007AE1" w14:textId="47C790BA" w:rsidR="00DC2828" w:rsidRPr="00DC2828" w:rsidRDefault="004B49D8" w:rsidP="00DC2828">
      <w:pPr>
        <w:pStyle w:val="ListParagraph"/>
        <w:numPr>
          <w:ilvl w:val="0"/>
          <w:numId w:val="28"/>
        </w:numPr>
        <w:rPr>
          <w:rFonts w:cstheme="minorBidi"/>
          <w:bCs/>
        </w:rPr>
      </w:pPr>
      <w:r>
        <w:rPr>
          <w:rFonts w:cstheme="minorBidi"/>
          <w:bCs/>
        </w:rPr>
        <w:t>Quilceda/Allen Subbasin i</w:t>
      </w:r>
      <w:r w:rsidR="00357F3B" w:rsidRPr="00F25EA8">
        <w:rPr>
          <w:rFonts w:cstheme="minorBidi"/>
          <w:bCs/>
        </w:rPr>
        <w:t>nclud</w:t>
      </w:r>
      <w:r w:rsidR="00DC2828">
        <w:rPr>
          <w:rFonts w:cstheme="minorBidi"/>
          <w:bCs/>
        </w:rPr>
        <w:t>es projected growth in Quilceda-</w:t>
      </w:r>
      <w:r w:rsidR="00357F3B" w:rsidRPr="00F25EA8">
        <w:rPr>
          <w:rFonts w:cstheme="minorBidi"/>
          <w:bCs/>
        </w:rPr>
        <w:t>HUC 39</w:t>
      </w:r>
      <w:r w:rsidR="00DC2828">
        <w:rPr>
          <w:rFonts w:cstheme="minorBidi"/>
          <w:bCs/>
        </w:rPr>
        <w:t xml:space="preserve"> and Snohomish River-Frontal Procession Sound-HUC 44. </w:t>
      </w:r>
      <w:r w:rsidR="00DC2828" w:rsidRPr="00DC2828">
        <w:rPr>
          <w:rFonts w:cstheme="minorBidi"/>
          <w:bCs/>
        </w:rPr>
        <w:t xml:space="preserve">GeoEngineers did the following to estimate growth in Quilceda/Allen Subbasin: </w:t>
      </w:r>
    </w:p>
    <w:p w14:paraId="6BC77D5E" w14:textId="7A7C069B" w:rsidR="00DC2828" w:rsidRDefault="00DC2828" w:rsidP="00DC2828">
      <w:pPr>
        <w:pStyle w:val="ListParagraph"/>
        <w:numPr>
          <w:ilvl w:val="1"/>
          <w:numId w:val="28"/>
        </w:numPr>
        <w:rPr>
          <w:rFonts w:cstheme="minorBidi"/>
          <w:bCs/>
        </w:rPr>
      </w:pPr>
      <w:r>
        <w:rPr>
          <w:rFonts w:cstheme="minorBidi"/>
          <w:bCs/>
        </w:rPr>
        <w:t>Reallocated the percentage of growth in Allen Creek drainage from Snohomish River-Frontal Procession Sound to Quilceda.</w:t>
      </w:r>
    </w:p>
    <w:p w14:paraId="26E2F474" w14:textId="56014E5A" w:rsidR="00DC2828" w:rsidRDefault="00DC2828" w:rsidP="00DC2828">
      <w:pPr>
        <w:pStyle w:val="ListParagraph"/>
        <w:numPr>
          <w:ilvl w:val="1"/>
          <w:numId w:val="28"/>
        </w:numPr>
        <w:rPr>
          <w:rFonts w:cstheme="minorBidi"/>
          <w:bCs/>
        </w:rPr>
      </w:pPr>
      <w:r>
        <w:rPr>
          <w:rFonts w:cstheme="minorBidi"/>
          <w:bCs/>
        </w:rPr>
        <w:t>Estimated the portion of past growth in HUC</w:t>
      </w:r>
      <w:r w:rsidR="00830546">
        <w:rPr>
          <w:rFonts w:cstheme="minorBidi"/>
          <w:bCs/>
        </w:rPr>
        <w:t xml:space="preserve"> </w:t>
      </w:r>
      <w:r>
        <w:rPr>
          <w:rFonts w:cstheme="minorBidi"/>
          <w:bCs/>
        </w:rPr>
        <w:t>44 that was in Allen Creek (28% of past growth).</w:t>
      </w:r>
    </w:p>
    <w:p w14:paraId="22D913C2" w14:textId="0DA8BBDB" w:rsidR="00DC2828" w:rsidRDefault="00DC2828" w:rsidP="00DC2828">
      <w:pPr>
        <w:pStyle w:val="ListParagraph"/>
        <w:numPr>
          <w:ilvl w:val="1"/>
          <w:numId w:val="28"/>
        </w:numPr>
        <w:rPr>
          <w:rFonts w:cstheme="minorBidi"/>
          <w:bCs/>
        </w:rPr>
      </w:pPr>
      <w:r>
        <w:rPr>
          <w:rFonts w:cstheme="minorBidi"/>
          <w:bCs/>
        </w:rPr>
        <w:t xml:space="preserve">Used past growth to estimate future growth for Allen Creek (33 PE wells). </w:t>
      </w:r>
    </w:p>
    <w:p w14:paraId="0624D6F8" w14:textId="0B27A652" w:rsidR="00DC2828" w:rsidRDefault="00DC2828" w:rsidP="00DC2828">
      <w:pPr>
        <w:pStyle w:val="ListParagraph"/>
        <w:numPr>
          <w:ilvl w:val="1"/>
          <w:numId w:val="28"/>
        </w:numPr>
        <w:rPr>
          <w:rFonts w:cstheme="minorBidi"/>
          <w:bCs/>
        </w:rPr>
      </w:pPr>
      <w:r>
        <w:rPr>
          <w:rFonts w:cstheme="minorBidi"/>
          <w:bCs/>
        </w:rPr>
        <w:t>Reallocated the Allen Creek growth projection (33 PE wells) from HUC</w:t>
      </w:r>
      <w:r w:rsidR="00830546">
        <w:rPr>
          <w:rFonts w:cstheme="minorBidi"/>
          <w:bCs/>
        </w:rPr>
        <w:t xml:space="preserve"> </w:t>
      </w:r>
      <w:r>
        <w:rPr>
          <w:rFonts w:cstheme="minorBidi"/>
          <w:bCs/>
        </w:rPr>
        <w:t xml:space="preserve">44 to HUC 39. </w:t>
      </w:r>
    </w:p>
    <w:p w14:paraId="66FD5CB9" w14:textId="0B24402E" w:rsidR="00357F3B" w:rsidRPr="00F25EA8" w:rsidRDefault="00DC2828" w:rsidP="00F25EA8">
      <w:pPr>
        <w:pStyle w:val="ListParagraph"/>
        <w:numPr>
          <w:ilvl w:val="1"/>
          <w:numId w:val="28"/>
        </w:numPr>
        <w:rPr>
          <w:rFonts w:cstheme="minorBidi"/>
          <w:bCs/>
        </w:rPr>
      </w:pPr>
      <w:r>
        <w:rPr>
          <w:rFonts w:cstheme="minorBidi"/>
          <w:bCs/>
        </w:rPr>
        <w:t xml:space="preserve">The projected growth in Allen/Quilceda </w:t>
      </w:r>
      <w:r w:rsidR="00830546">
        <w:rPr>
          <w:rFonts w:cstheme="minorBidi"/>
          <w:bCs/>
        </w:rPr>
        <w:t>S</w:t>
      </w:r>
      <w:bookmarkStart w:id="0" w:name="_GoBack"/>
      <w:bookmarkEnd w:id="0"/>
      <w:r>
        <w:rPr>
          <w:rFonts w:cstheme="minorBidi"/>
          <w:bCs/>
        </w:rPr>
        <w:t>ubbasin is 338 PE wells (297 PE wells</w:t>
      </w:r>
      <w:r w:rsidR="00357F3B" w:rsidRPr="00F25EA8">
        <w:rPr>
          <w:rFonts w:cstheme="minorBidi"/>
          <w:bCs/>
        </w:rPr>
        <w:t xml:space="preserve"> plus 33 PE wells</w:t>
      </w:r>
      <w:r w:rsidR="00AE176B" w:rsidRPr="00F25EA8">
        <w:rPr>
          <w:rFonts w:cstheme="minorBidi"/>
          <w:bCs/>
        </w:rPr>
        <w:t xml:space="preserve"> from Estuary/Snohomish Mainstem Subbasin</w:t>
      </w:r>
      <w:r>
        <w:rPr>
          <w:rFonts w:cstheme="minorBidi"/>
          <w:bCs/>
        </w:rPr>
        <w:t xml:space="preserve">). </w:t>
      </w:r>
    </w:p>
    <w:p w14:paraId="1996377F" w14:textId="7126AD58" w:rsidR="002904B3" w:rsidRPr="002904B3" w:rsidRDefault="002904B3" w:rsidP="002904B3">
      <w:pPr>
        <w:pStyle w:val="ListParagraph"/>
        <w:numPr>
          <w:ilvl w:val="0"/>
          <w:numId w:val="28"/>
        </w:numPr>
        <w:rPr>
          <w:rFonts w:cstheme="minorBidi"/>
          <w:bCs/>
        </w:rPr>
      </w:pPr>
      <w:r>
        <w:rPr>
          <w:rFonts w:cstheme="minorBidi"/>
          <w:bCs/>
        </w:rPr>
        <w:t>GeoEngineers r</w:t>
      </w:r>
      <w:r w:rsidRPr="00FC2DCB">
        <w:rPr>
          <w:rFonts w:cstheme="minorBidi"/>
          <w:bCs/>
        </w:rPr>
        <w:t xml:space="preserve">eallocated </w:t>
      </w:r>
      <w:r>
        <w:rPr>
          <w:rFonts w:cstheme="minorBidi"/>
          <w:bCs/>
        </w:rPr>
        <w:t xml:space="preserve">projected </w:t>
      </w:r>
      <w:r w:rsidRPr="00FC2DCB">
        <w:rPr>
          <w:rFonts w:cstheme="minorBidi"/>
          <w:bCs/>
        </w:rPr>
        <w:t>PE wells in UGAs</w:t>
      </w:r>
      <w:r>
        <w:rPr>
          <w:rFonts w:cstheme="minorBidi"/>
          <w:bCs/>
        </w:rPr>
        <w:t xml:space="preserve"> by subbasin. </w:t>
      </w:r>
    </w:p>
    <w:p w14:paraId="64AEDFF2" w14:textId="5A22ACDC" w:rsidR="00AE176B" w:rsidRDefault="00AE176B" w:rsidP="00C6373D">
      <w:pPr>
        <w:pStyle w:val="ListParagraph"/>
        <w:numPr>
          <w:ilvl w:val="0"/>
          <w:numId w:val="28"/>
        </w:numPr>
        <w:rPr>
          <w:rFonts w:cstheme="minorBidi"/>
          <w:bCs/>
        </w:rPr>
      </w:pPr>
      <w:r>
        <w:rPr>
          <w:rFonts w:cstheme="minorBidi"/>
          <w:bCs/>
        </w:rPr>
        <w:t xml:space="preserve">Bridget provided a clarification on the </w:t>
      </w:r>
      <w:r w:rsidR="002904B3">
        <w:rPr>
          <w:rFonts w:cstheme="minorBidi"/>
          <w:bCs/>
        </w:rPr>
        <w:t xml:space="preserve">growth projections for Tulalip Subbasin. </w:t>
      </w:r>
    </w:p>
    <w:p w14:paraId="1CB1F3EA" w14:textId="6464F607" w:rsidR="002D2E17" w:rsidRDefault="002D2E17" w:rsidP="002D2E17">
      <w:pPr>
        <w:pStyle w:val="ListParagraph"/>
        <w:numPr>
          <w:ilvl w:val="1"/>
          <w:numId w:val="28"/>
        </w:numPr>
        <w:rPr>
          <w:rFonts w:cstheme="minorBidi"/>
          <w:bCs/>
        </w:rPr>
      </w:pPr>
      <w:r>
        <w:rPr>
          <w:rFonts w:cstheme="minorBidi"/>
          <w:bCs/>
        </w:rPr>
        <w:t xml:space="preserve">Includes growth forecast of 204 PE wells based on past trends for unincorporated Snohomish County. </w:t>
      </w:r>
    </w:p>
    <w:p w14:paraId="0B61D59C" w14:textId="5E37C5F3" w:rsidR="002D2E17" w:rsidRPr="002D2E17" w:rsidRDefault="002904B3" w:rsidP="002D2E17">
      <w:pPr>
        <w:pStyle w:val="ListParagraph"/>
        <w:numPr>
          <w:ilvl w:val="1"/>
          <w:numId w:val="28"/>
        </w:numPr>
        <w:rPr>
          <w:rFonts w:cstheme="minorBidi"/>
          <w:bCs/>
        </w:rPr>
      </w:pPr>
      <w:r w:rsidRPr="002904B3">
        <w:rPr>
          <w:rFonts w:cstheme="minorBidi"/>
          <w:bCs/>
        </w:rPr>
        <w:t>Assumes all of the growth forecast for water service areas in Tulalip (249) will use PE w</w:t>
      </w:r>
      <w:r w:rsidRPr="002D2E17">
        <w:rPr>
          <w:rFonts w:cstheme="minorBidi"/>
          <w:bCs/>
        </w:rPr>
        <w:t xml:space="preserve">ells to account for the inability of the Seven Lakes water system to expand service at this time. </w:t>
      </w:r>
    </w:p>
    <w:p w14:paraId="5B62A43B" w14:textId="0EEDB29F" w:rsidR="004B49D8" w:rsidRPr="00AE176B" w:rsidRDefault="002904B3" w:rsidP="002904B3">
      <w:pPr>
        <w:pStyle w:val="ListParagraph"/>
        <w:numPr>
          <w:ilvl w:val="1"/>
          <w:numId w:val="28"/>
        </w:numPr>
        <w:rPr>
          <w:rFonts w:cstheme="minorBidi"/>
          <w:bCs/>
        </w:rPr>
      </w:pPr>
      <w:r w:rsidRPr="002904B3">
        <w:rPr>
          <w:rFonts w:cstheme="minorBidi"/>
          <w:bCs/>
        </w:rPr>
        <w:t xml:space="preserve">Includes an estimate of 15 potential new </w:t>
      </w:r>
      <w:r w:rsidR="002D2E17">
        <w:rPr>
          <w:rFonts w:cstheme="minorBidi"/>
          <w:bCs/>
        </w:rPr>
        <w:t xml:space="preserve">PE wells on Tulalip Tribal owned lands. </w:t>
      </w:r>
    </w:p>
    <w:p w14:paraId="1A4C125B" w14:textId="47E1D6EF" w:rsidR="00872774" w:rsidRDefault="00543305" w:rsidP="00223047">
      <w:pPr>
        <w:pStyle w:val="Heading1"/>
      </w:pPr>
      <w:r>
        <w:t>C</w:t>
      </w:r>
      <w:r w:rsidR="00E609C2">
        <w:t>onsumptive use estimates &amp; calculator</w:t>
      </w:r>
    </w:p>
    <w:p w14:paraId="0A4D9B6E" w14:textId="5F60E9EA" w:rsidR="0044059E" w:rsidRDefault="00872774" w:rsidP="0044059E">
      <w:pPr>
        <w:pStyle w:val="ListParagraph"/>
        <w:numPr>
          <w:ilvl w:val="0"/>
          <w:numId w:val="29"/>
        </w:numPr>
      </w:pPr>
      <w:r>
        <w:t xml:space="preserve">Objective: </w:t>
      </w:r>
      <w:r w:rsidR="00DA7CD9">
        <w:t xml:space="preserve">Review </w:t>
      </w:r>
      <w:r w:rsidR="00543305">
        <w:t xml:space="preserve">preliminary </w:t>
      </w:r>
      <w:r w:rsidR="00DA7CD9">
        <w:t>consumptive use results &amp; scenarios</w:t>
      </w:r>
    </w:p>
    <w:p w14:paraId="0A175D1E" w14:textId="3C82D352" w:rsidR="001E2127" w:rsidRDefault="001E2127" w:rsidP="001E2127"/>
    <w:p w14:paraId="01F1D1AD" w14:textId="2BDCC43B" w:rsidR="00EF00A3" w:rsidRDefault="00EF00A3" w:rsidP="001E2127">
      <w:r>
        <w:t xml:space="preserve">Ingria let the workgroup know that GeoEngineers and NHC are coordinating with technical consultants providing support to the southwest 203 Committees to perform a QA/QC of the irrigated footprint analysis conducted across the watersheds. Ingria will provide an update when new information is available. </w:t>
      </w:r>
    </w:p>
    <w:p w14:paraId="66A3FF37" w14:textId="77777777" w:rsidR="00EF00A3" w:rsidRDefault="00EF00A3" w:rsidP="001E2127"/>
    <w:p w14:paraId="0BF25BC0" w14:textId="08257A5F" w:rsidR="00B378FA" w:rsidRDefault="00B378FA" w:rsidP="001E2127">
      <w:r>
        <w:t>Reference materials:</w:t>
      </w:r>
    </w:p>
    <w:p w14:paraId="20D450D3" w14:textId="2E886ECF" w:rsidR="00B378FA" w:rsidRDefault="00B378FA" w:rsidP="00B378FA">
      <w:pPr>
        <w:pStyle w:val="ListParagraph"/>
        <w:numPr>
          <w:ilvl w:val="0"/>
          <w:numId w:val="39"/>
        </w:numPr>
        <w:ind w:left="360"/>
      </w:pPr>
      <w:r>
        <w:t>Consumptive use calculator spreadsheet (on BOX</w:t>
      </w:r>
      <w:r w:rsidR="00EF00A3">
        <w:t xml:space="preserve"> </w:t>
      </w:r>
      <w:hyperlink r:id="rId16" w:history="1">
        <w:r w:rsidR="00EF00A3" w:rsidRPr="00EF00A3">
          <w:rPr>
            <w:rStyle w:val="Hyperlink"/>
          </w:rPr>
          <w:t>here</w:t>
        </w:r>
      </w:hyperlink>
      <w:r>
        <w:t xml:space="preserve">) </w:t>
      </w:r>
    </w:p>
    <w:p w14:paraId="6F7782CA" w14:textId="4F60C4FA" w:rsidR="00B378FA" w:rsidRDefault="00B378FA" w:rsidP="00B378FA">
      <w:pPr>
        <w:pStyle w:val="ListParagraph"/>
        <w:numPr>
          <w:ilvl w:val="0"/>
          <w:numId w:val="39"/>
        </w:numPr>
        <w:ind w:left="360"/>
      </w:pPr>
      <w:r>
        <w:t>Consumptive use results –presentation (on BOX</w:t>
      </w:r>
      <w:r w:rsidR="00EF00A3">
        <w:t xml:space="preserve"> </w:t>
      </w:r>
      <w:hyperlink r:id="rId17" w:history="1">
        <w:r w:rsidR="00EF00A3" w:rsidRPr="00EF00A3">
          <w:rPr>
            <w:rStyle w:val="Hyperlink"/>
          </w:rPr>
          <w:t>here</w:t>
        </w:r>
      </w:hyperlink>
      <w:r>
        <w:t>)</w:t>
      </w:r>
    </w:p>
    <w:p w14:paraId="4E7197D7" w14:textId="3BAFA09F" w:rsidR="00EF00A3" w:rsidRDefault="00EF00A3" w:rsidP="00B378FA">
      <w:pPr>
        <w:pStyle w:val="ListParagraph"/>
        <w:numPr>
          <w:ilvl w:val="0"/>
          <w:numId w:val="39"/>
        </w:numPr>
        <w:ind w:left="360"/>
      </w:pPr>
      <w:r>
        <w:t xml:space="preserve">Consumptive use work plan (on BOX </w:t>
      </w:r>
      <w:hyperlink r:id="rId18" w:history="1">
        <w:r w:rsidRPr="00EF00A3">
          <w:rPr>
            <w:rStyle w:val="Hyperlink"/>
          </w:rPr>
          <w:t>here</w:t>
        </w:r>
      </w:hyperlink>
      <w:r>
        <w:t xml:space="preserve">) </w:t>
      </w:r>
    </w:p>
    <w:p w14:paraId="0ACEFCDA" w14:textId="77777777" w:rsidR="00B378FA" w:rsidRDefault="00B378FA" w:rsidP="00B378FA">
      <w:pPr>
        <w:pStyle w:val="ListParagraph"/>
        <w:ind w:left="360"/>
      </w:pPr>
    </w:p>
    <w:p w14:paraId="23FA9E3C" w14:textId="63EEF206" w:rsidR="00CA381E" w:rsidRDefault="00EF00A3" w:rsidP="001E2127">
      <w:r>
        <w:t xml:space="preserve">Patty </w:t>
      </w:r>
      <w:r w:rsidR="001613DB">
        <w:t xml:space="preserve">Dillon (NHC) </w:t>
      </w:r>
      <w:r>
        <w:t xml:space="preserve">provided an overview of the preliminary consumptive use estimates for WRIA 7. </w:t>
      </w:r>
    </w:p>
    <w:p w14:paraId="5C0425A4" w14:textId="77777777" w:rsidR="00D469AC" w:rsidRDefault="00D469AC" w:rsidP="00D469AC"/>
    <w:p w14:paraId="31838910" w14:textId="6358AD7B" w:rsidR="00D469AC" w:rsidRDefault="00D469AC" w:rsidP="00D469AC">
      <w:r w:rsidRPr="00D469AC">
        <w:rPr>
          <w:b/>
        </w:rPr>
        <w:t>Total consumptive use for WRIA 7 (Scenario 1) is 797.4 acre-feet per year (1.1 cubic foot per second)</w:t>
      </w:r>
    </w:p>
    <w:p w14:paraId="58BB97BC" w14:textId="77777777" w:rsidR="00EF00A3" w:rsidRDefault="00EF00A3" w:rsidP="001E2127"/>
    <w:p w14:paraId="12908713" w14:textId="69DBF10F" w:rsidR="001613DB" w:rsidRDefault="004E1253" w:rsidP="001613DB">
      <w:pPr>
        <w:pStyle w:val="ListParagraph"/>
        <w:numPr>
          <w:ilvl w:val="0"/>
          <w:numId w:val="29"/>
        </w:numPr>
        <w:contextualSpacing w:val="0"/>
      </w:pPr>
      <w:r>
        <w:t>Calculated</w:t>
      </w:r>
      <w:r w:rsidR="001613DB">
        <w:t xml:space="preserve"> indoor use</w:t>
      </w:r>
    </w:p>
    <w:p w14:paraId="1A6D3A46" w14:textId="028D1BC5" w:rsidR="001613DB" w:rsidRDefault="001613DB" w:rsidP="001613DB">
      <w:pPr>
        <w:pStyle w:val="ListParagraph"/>
        <w:numPr>
          <w:ilvl w:val="1"/>
          <w:numId w:val="29"/>
        </w:numPr>
        <w:contextualSpacing w:val="0"/>
      </w:pPr>
      <w:r>
        <w:lastRenderedPageBreak/>
        <w:t xml:space="preserve">Assumed indoor use of 60 gpd per person </w:t>
      </w:r>
    </w:p>
    <w:p w14:paraId="5DFEA876" w14:textId="77777777" w:rsidR="001613DB" w:rsidRDefault="001613DB" w:rsidP="001613DB">
      <w:pPr>
        <w:pStyle w:val="ListParagraph"/>
        <w:numPr>
          <w:ilvl w:val="1"/>
          <w:numId w:val="29"/>
        </w:numPr>
        <w:contextualSpacing w:val="0"/>
      </w:pPr>
      <w:r>
        <w:t xml:space="preserve">Calculated average people per home by subbasin. </w:t>
      </w:r>
    </w:p>
    <w:p w14:paraId="452D2848" w14:textId="3278C3DC" w:rsidR="001613DB" w:rsidRDefault="00B04400" w:rsidP="001613DB">
      <w:pPr>
        <w:pStyle w:val="ListParagraph"/>
        <w:numPr>
          <w:ilvl w:val="2"/>
          <w:numId w:val="29"/>
        </w:numPr>
        <w:contextualSpacing w:val="0"/>
      </w:pPr>
      <w:r>
        <w:t>King County</w:t>
      </w:r>
      <w:r w:rsidR="004A3097">
        <w:t xml:space="preserve">: </w:t>
      </w:r>
      <w:r w:rsidRPr="00DA5152">
        <w:t>2.73 people per rural househol</w:t>
      </w:r>
      <w:r>
        <w:t>d</w:t>
      </w:r>
    </w:p>
    <w:p w14:paraId="609D6AD1" w14:textId="77777777" w:rsidR="001613DB" w:rsidRDefault="004A3097" w:rsidP="001613DB">
      <w:pPr>
        <w:pStyle w:val="ListParagraph"/>
        <w:numPr>
          <w:ilvl w:val="2"/>
          <w:numId w:val="29"/>
        </w:numPr>
        <w:contextualSpacing w:val="0"/>
      </w:pPr>
      <w:r>
        <w:t xml:space="preserve">Snohomish County: </w:t>
      </w:r>
      <w:r w:rsidR="00B04400">
        <w:t>2.75</w:t>
      </w:r>
      <w:r w:rsidR="00B04400" w:rsidRPr="00DA5152">
        <w:t xml:space="preserve"> </w:t>
      </w:r>
      <w:r w:rsidR="00B04400">
        <w:t>people per home</w:t>
      </w:r>
      <w:r>
        <w:t>.</w:t>
      </w:r>
    </w:p>
    <w:p w14:paraId="311BCDC2" w14:textId="37BA564A" w:rsidR="001613DB" w:rsidRPr="00DA5152" w:rsidRDefault="004A3097" w:rsidP="001613DB">
      <w:pPr>
        <w:pStyle w:val="ListParagraph"/>
        <w:numPr>
          <w:ilvl w:val="2"/>
          <w:numId w:val="29"/>
        </w:numPr>
        <w:contextualSpacing w:val="0"/>
      </w:pPr>
      <w:r>
        <w:t>2.</w:t>
      </w:r>
      <w:r w:rsidR="00B04400">
        <w:t>74</w:t>
      </w:r>
      <w:r>
        <w:t xml:space="preserve"> </w:t>
      </w:r>
      <w:r w:rsidR="00B04400">
        <w:t xml:space="preserve"> people per home were used in </w:t>
      </w:r>
      <w:r>
        <w:t xml:space="preserve">some </w:t>
      </w:r>
      <w:r w:rsidR="00B04400">
        <w:t>calculations</w:t>
      </w:r>
      <w:r w:rsidR="001613DB">
        <w:t xml:space="preserve"> (subbasin crosses county boundary)</w:t>
      </w:r>
    </w:p>
    <w:p w14:paraId="4F4D1AE2" w14:textId="2750F868" w:rsidR="00B04400" w:rsidRPr="001613DB" w:rsidRDefault="001613DB" w:rsidP="001613DB">
      <w:pPr>
        <w:pStyle w:val="ListParagraph"/>
        <w:numPr>
          <w:ilvl w:val="0"/>
          <w:numId w:val="29"/>
        </w:numPr>
        <w:contextualSpacing w:val="0"/>
      </w:pPr>
      <w:r>
        <w:t xml:space="preserve">Calculated </w:t>
      </w:r>
      <w:r w:rsidRPr="001613DB">
        <w:t>a</w:t>
      </w:r>
      <w:r w:rsidR="00B04400" w:rsidRPr="001613DB">
        <w:t>verage lawn size from irrigated footprint analysis</w:t>
      </w:r>
      <w:r>
        <w:t xml:space="preserve"> for each subbasin</w:t>
      </w:r>
    </w:p>
    <w:p w14:paraId="3A920885" w14:textId="64ED2B5A" w:rsidR="001613DB" w:rsidRDefault="001613DB" w:rsidP="001613DB">
      <w:pPr>
        <w:pStyle w:val="ListParagraph"/>
        <w:numPr>
          <w:ilvl w:val="4"/>
          <w:numId w:val="29"/>
        </w:numPr>
        <w:ind w:left="1080"/>
      </w:pPr>
      <w:r w:rsidRPr="001613DB">
        <w:t>Sampled 393 single-family residential building permit sites, 2006-2017</w:t>
      </w:r>
      <w:r w:rsidR="004E1253">
        <w:t xml:space="preserve"> (25% of permits)</w:t>
      </w:r>
    </w:p>
    <w:p w14:paraId="0BCF5002" w14:textId="779835B4" w:rsidR="001613DB" w:rsidRDefault="001613DB" w:rsidP="001613DB">
      <w:pPr>
        <w:pStyle w:val="ListParagraph"/>
        <w:numPr>
          <w:ilvl w:val="4"/>
          <w:numId w:val="29"/>
        </w:numPr>
        <w:ind w:left="1080"/>
      </w:pPr>
      <w:r w:rsidRPr="001613DB">
        <w:t>20-30 permit parcels evaluated in each of 16 subbasins</w:t>
      </w:r>
      <w:r>
        <w:t xml:space="preserve"> </w:t>
      </w:r>
      <w:r w:rsidRPr="001613DB">
        <w:t>with projected permit-exempt well connections</w:t>
      </w:r>
    </w:p>
    <w:p w14:paraId="111668E4" w14:textId="6B09B8C1" w:rsidR="001613DB" w:rsidRDefault="001613DB" w:rsidP="001613DB">
      <w:pPr>
        <w:pStyle w:val="ListParagraph"/>
        <w:numPr>
          <w:ilvl w:val="4"/>
          <w:numId w:val="29"/>
        </w:numPr>
        <w:ind w:left="1080"/>
      </w:pPr>
      <w:r w:rsidRPr="001613DB">
        <w:t>Evaluated irrigation practices at each site using Google Earth imagery</w:t>
      </w:r>
    </w:p>
    <w:p w14:paraId="6F01BD92" w14:textId="65BBBB8A" w:rsidR="004E1253" w:rsidRDefault="004E1253" w:rsidP="001613DB">
      <w:pPr>
        <w:pStyle w:val="ListParagraph"/>
        <w:numPr>
          <w:ilvl w:val="4"/>
          <w:numId w:val="29"/>
        </w:numPr>
        <w:ind w:left="1080"/>
      </w:pPr>
      <w:r>
        <w:t xml:space="preserve">Calculated average irrigated acres by subbasin </w:t>
      </w:r>
    </w:p>
    <w:p w14:paraId="165628B0" w14:textId="0CF6738E" w:rsidR="004A3097" w:rsidRDefault="004A3097" w:rsidP="001613DB">
      <w:pPr>
        <w:pStyle w:val="ListParagraph"/>
        <w:numPr>
          <w:ilvl w:val="4"/>
          <w:numId w:val="29"/>
        </w:numPr>
        <w:ind w:left="1080"/>
      </w:pPr>
      <w:r w:rsidRPr="004A3097">
        <w:rPr>
          <w:b/>
        </w:rPr>
        <w:t>A</w:t>
      </w:r>
      <w:r w:rsidR="001613DB">
        <w:rPr>
          <w:b/>
        </w:rPr>
        <w:t xml:space="preserve">verage </w:t>
      </w:r>
      <w:r w:rsidR="004E1253">
        <w:rPr>
          <w:b/>
        </w:rPr>
        <w:t>irrigated acres (</w:t>
      </w:r>
      <w:r w:rsidR="001613DB">
        <w:rPr>
          <w:b/>
        </w:rPr>
        <w:t>lawn size</w:t>
      </w:r>
      <w:r w:rsidR="004E1253">
        <w:rPr>
          <w:b/>
        </w:rPr>
        <w:t>)</w:t>
      </w:r>
      <w:r w:rsidR="001613DB">
        <w:rPr>
          <w:b/>
        </w:rPr>
        <w:t xml:space="preserve"> </w:t>
      </w:r>
      <w:r w:rsidRPr="004A3097">
        <w:rPr>
          <w:b/>
        </w:rPr>
        <w:t>in WRIA 7 is 0.2</w:t>
      </w:r>
      <w:r w:rsidR="00F452AC">
        <w:rPr>
          <w:b/>
        </w:rPr>
        <w:t>1</w:t>
      </w:r>
      <w:r w:rsidRPr="004A3097">
        <w:rPr>
          <w:b/>
        </w:rPr>
        <w:t xml:space="preserve"> acres</w:t>
      </w:r>
      <w:r>
        <w:t xml:space="preserve"> </w:t>
      </w:r>
    </w:p>
    <w:p w14:paraId="49E2A163" w14:textId="30D3E3EF" w:rsidR="004A3097" w:rsidRDefault="004E1253" w:rsidP="001613DB">
      <w:pPr>
        <w:pStyle w:val="ListParagraph"/>
        <w:numPr>
          <w:ilvl w:val="4"/>
          <w:numId w:val="29"/>
        </w:numPr>
        <w:ind w:left="1080"/>
      </w:pPr>
      <w:r>
        <w:t xml:space="preserve">Identified </w:t>
      </w:r>
      <w:r w:rsidR="004A3097" w:rsidRPr="00FC2DCB">
        <w:t xml:space="preserve">3 </w:t>
      </w:r>
      <w:r w:rsidR="004A3097">
        <w:t xml:space="preserve">parcels </w:t>
      </w:r>
      <w:r w:rsidR="004A3097" w:rsidRPr="00FC2DCB">
        <w:t xml:space="preserve">out of 393 parcels reviewed </w:t>
      </w:r>
      <w:r>
        <w:t xml:space="preserve">with swimming pools. Technical consultants are not planning to account for swimming pools. </w:t>
      </w:r>
      <w:r w:rsidR="004A3097">
        <w:t xml:space="preserve"> </w:t>
      </w:r>
    </w:p>
    <w:p w14:paraId="16191160" w14:textId="2B81736C" w:rsidR="004E1253" w:rsidRDefault="004E1253" w:rsidP="004E1253">
      <w:pPr>
        <w:pStyle w:val="ListParagraph"/>
        <w:numPr>
          <w:ilvl w:val="0"/>
          <w:numId w:val="29"/>
        </w:numPr>
      </w:pPr>
      <w:r>
        <w:t>Calculated portion of water use that is consumptive</w:t>
      </w:r>
    </w:p>
    <w:p w14:paraId="025500DF" w14:textId="362DAADB" w:rsidR="00F101A0" w:rsidRPr="004E1253" w:rsidRDefault="004E1253" w:rsidP="004E1253">
      <w:pPr>
        <w:pStyle w:val="ListParagraph"/>
        <w:numPr>
          <w:ilvl w:val="1"/>
          <w:numId w:val="29"/>
        </w:numPr>
      </w:pPr>
      <w:r>
        <w:t>Indoor c</w:t>
      </w:r>
      <w:r w:rsidR="006A2185" w:rsidRPr="004E1253">
        <w:t xml:space="preserve">onsumptive fraction = 10% for home on septic. </w:t>
      </w:r>
    </w:p>
    <w:p w14:paraId="0FB72B71" w14:textId="77777777" w:rsidR="004E1253" w:rsidRDefault="004E1253" w:rsidP="004E1253">
      <w:pPr>
        <w:pStyle w:val="ListParagraph"/>
        <w:numPr>
          <w:ilvl w:val="1"/>
          <w:numId w:val="29"/>
        </w:numPr>
      </w:pPr>
      <w:r>
        <w:t>Outdoor consumptive fraction</w:t>
      </w:r>
    </w:p>
    <w:p w14:paraId="2035C9EE" w14:textId="705C4B7D" w:rsidR="004E1253" w:rsidRDefault="004E1253" w:rsidP="004E1253">
      <w:pPr>
        <w:pStyle w:val="ListParagraph"/>
        <w:numPr>
          <w:ilvl w:val="2"/>
          <w:numId w:val="29"/>
        </w:numPr>
      </w:pPr>
      <w:r>
        <w:t>Calculated crop irrigation requirement (inches) by subbasin (varies based on precipitation and temperature)</w:t>
      </w:r>
    </w:p>
    <w:p w14:paraId="7DEA31B6" w14:textId="1FC8FD03" w:rsidR="004E1253" w:rsidRDefault="004E1253" w:rsidP="004E1253">
      <w:pPr>
        <w:pStyle w:val="ListParagraph"/>
        <w:numPr>
          <w:ilvl w:val="2"/>
          <w:numId w:val="29"/>
        </w:numPr>
      </w:pPr>
      <w:r>
        <w:t xml:space="preserve">Assumed 75% irrigation efficiency </w:t>
      </w:r>
    </w:p>
    <w:p w14:paraId="1FE852A2" w14:textId="75C41C50" w:rsidR="00153CAE" w:rsidRDefault="00153CAE" w:rsidP="00153CAE">
      <w:pPr>
        <w:pStyle w:val="ListParagraph"/>
        <w:numPr>
          <w:ilvl w:val="2"/>
          <w:numId w:val="29"/>
        </w:numPr>
      </w:pPr>
      <w:r>
        <w:t>Assumed 80% consumptive</w:t>
      </w:r>
    </w:p>
    <w:p w14:paraId="3F10CFCE" w14:textId="7487BEF2" w:rsidR="004E1253" w:rsidRDefault="00153CAE" w:rsidP="00153CAE">
      <w:pPr>
        <w:pStyle w:val="ListParagraph"/>
        <w:numPr>
          <w:ilvl w:val="0"/>
          <w:numId w:val="29"/>
        </w:numPr>
      </w:pPr>
      <w:r>
        <w:t>Calculated total consumptive use (indoor + outddor) by subbasin and WRIA</w:t>
      </w:r>
      <w:r w:rsidR="001E0407">
        <w:t xml:space="preserve"> </w:t>
      </w:r>
    </w:p>
    <w:p w14:paraId="2AC70503" w14:textId="3C63406C" w:rsidR="00153CAE" w:rsidRDefault="00153CAE" w:rsidP="00153CAE">
      <w:pPr>
        <w:pStyle w:val="ListParagraph"/>
        <w:numPr>
          <w:ilvl w:val="1"/>
          <w:numId w:val="29"/>
        </w:numPr>
      </w:pPr>
      <w:r>
        <w:rPr>
          <w:b/>
        </w:rPr>
        <w:t xml:space="preserve">Total consumptive use for WRIA 7 </w:t>
      </w:r>
      <w:r w:rsidR="00D47F1B">
        <w:rPr>
          <w:b/>
        </w:rPr>
        <w:t xml:space="preserve">(Scenario 1) is </w:t>
      </w:r>
      <w:r w:rsidRPr="00153CAE">
        <w:rPr>
          <w:b/>
        </w:rPr>
        <w:t>797.4 acre-feet per year</w:t>
      </w:r>
      <w:r>
        <w:rPr>
          <w:b/>
        </w:rPr>
        <w:t xml:space="preserve"> (1.1 cubic foot per second)</w:t>
      </w:r>
    </w:p>
    <w:p w14:paraId="5604D604" w14:textId="1BBBBEBE" w:rsidR="004E1253" w:rsidRDefault="004E1253" w:rsidP="004E1253"/>
    <w:p w14:paraId="0C9131FA" w14:textId="4AB43FBB" w:rsidR="001E0407" w:rsidRDefault="001E0407" w:rsidP="004E1253">
      <w:r>
        <w:t xml:space="preserve">Patty reviewed examples of metered water use for Snohomish PUD and Covington Water District. </w:t>
      </w:r>
    </w:p>
    <w:p w14:paraId="4A9B426E" w14:textId="4ED2EDB7" w:rsidR="00F452AC" w:rsidRDefault="00F452AC" w:rsidP="00F452AC">
      <w:pPr>
        <w:pStyle w:val="ListParagraph"/>
        <w:numPr>
          <w:ilvl w:val="0"/>
          <w:numId w:val="43"/>
        </w:numPr>
        <w:ind w:left="360"/>
      </w:pPr>
      <w:r>
        <w:t xml:space="preserve">Technical consultant’s water use estimates are higher than metered water use for Snohomish PUD or Covington Water District. </w:t>
      </w:r>
    </w:p>
    <w:p w14:paraId="01043E16" w14:textId="22812595" w:rsidR="00153CAE" w:rsidRDefault="00F452AC" w:rsidP="004E1253">
      <w:r>
        <w:t xml:space="preserve"> </w:t>
      </w:r>
    </w:p>
    <w:p w14:paraId="7E1732F5" w14:textId="2ABA6F3D" w:rsidR="00153CAE" w:rsidRDefault="0085112B" w:rsidP="004E1253">
      <w:r>
        <w:t>Questions and Discussion</w:t>
      </w:r>
    </w:p>
    <w:p w14:paraId="092118EF" w14:textId="198609BC" w:rsidR="001E0407" w:rsidRDefault="001E0407" w:rsidP="001E0407">
      <w:pPr>
        <w:pStyle w:val="ListParagraph"/>
        <w:numPr>
          <w:ilvl w:val="0"/>
          <w:numId w:val="42"/>
        </w:numPr>
      </w:pPr>
      <w:r>
        <w:t xml:space="preserve">What version of the Washington Irrigation Guide was used? Is it the latest version? </w:t>
      </w:r>
    </w:p>
    <w:p w14:paraId="58F1D68E" w14:textId="77777777" w:rsidR="001E0407" w:rsidRPr="001E0407" w:rsidRDefault="001E0407" w:rsidP="001E0407">
      <w:pPr>
        <w:pStyle w:val="ListParagraph"/>
        <w:numPr>
          <w:ilvl w:val="1"/>
          <w:numId w:val="42"/>
        </w:numPr>
      </w:pPr>
      <w:r>
        <w:t xml:space="preserve">Used the </w:t>
      </w:r>
      <w:r w:rsidRPr="001E0407">
        <w:t>Washington Irrigation Guide (1997 is most recent complete data)</w:t>
      </w:r>
    </w:p>
    <w:p w14:paraId="46301DCE" w14:textId="6237D1DB" w:rsidR="001E0407" w:rsidRDefault="001E0407" w:rsidP="001E0407">
      <w:pPr>
        <w:pStyle w:val="ListParagraph"/>
        <w:numPr>
          <w:ilvl w:val="1"/>
          <w:numId w:val="42"/>
        </w:numPr>
      </w:pPr>
      <w:r>
        <w:t xml:space="preserve">WAIG has not been updated since then. </w:t>
      </w:r>
    </w:p>
    <w:p w14:paraId="69CAB297" w14:textId="127AAC1B" w:rsidR="001E0407" w:rsidRDefault="001E0407" w:rsidP="004E1253"/>
    <w:p w14:paraId="072950B8" w14:textId="38C60F19" w:rsidR="001E0407" w:rsidRDefault="001E0407" w:rsidP="004E1253">
      <w:r>
        <w:t xml:space="preserve">Patty Dillon introduced the consumptive use calculator spreadsheet and the scenarios in the spreadsheet. </w:t>
      </w:r>
    </w:p>
    <w:p w14:paraId="411A4AEC" w14:textId="2624FC3E" w:rsidR="001E0407" w:rsidRDefault="001E0407" w:rsidP="004E1253"/>
    <w:p w14:paraId="0D0653E9" w14:textId="77777777" w:rsidR="00D469AC" w:rsidRDefault="00D469AC" w:rsidP="00D469AC">
      <w:pPr>
        <w:pStyle w:val="ListParagraph"/>
        <w:numPr>
          <w:ilvl w:val="0"/>
          <w:numId w:val="42"/>
        </w:numPr>
      </w:pPr>
      <w:r>
        <w:t xml:space="preserve">Information tab includes default/standard values, average people per home calculation, irrigated footprint analysis results, and crop irrigation requirements. This creates the reference for the estimates. </w:t>
      </w:r>
    </w:p>
    <w:p w14:paraId="214292F3" w14:textId="70F36170" w:rsidR="00B04400" w:rsidRDefault="00D469AC" w:rsidP="00756203">
      <w:pPr>
        <w:pStyle w:val="ListParagraph"/>
        <w:numPr>
          <w:ilvl w:val="0"/>
          <w:numId w:val="42"/>
        </w:numPr>
      </w:pPr>
      <w:r w:rsidRPr="00756203">
        <w:t xml:space="preserve"> </w:t>
      </w:r>
      <w:r w:rsidR="00B04400" w:rsidRPr="00756203">
        <w:t>Annual Consumptive Use Summary of Scenarios (“Summary Annual” tab)</w:t>
      </w:r>
      <w:r w:rsidRPr="00756203">
        <w:t xml:space="preserve"> shows the input and results for four different scenarios</w:t>
      </w:r>
      <w:r>
        <w:t xml:space="preserve">. </w:t>
      </w:r>
    </w:p>
    <w:p w14:paraId="120C4AE6" w14:textId="7D3969C1" w:rsidR="00B04400" w:rsidRPr="00116CC0" w:rsidRDefault="00B04400" w:rsidP="00D469AC">
      <w:pPr>
        <w:pStyle w:val="ListParagraph"/>
        <w:numPr>
          <w:ilvl w:val="1"/>
          <w:numId w:val="29"/>
        </w:numPr>
        <w:contextualSpacing w:val="0"/>
      </w:pPr>
      <w:r w:rsidRPr="00D469AC">
        <w:rPr>
          <w:b/>
        </w:rPr>
        <w:t>Scenario 1:</w:t>
      </w:r>
      <w:r>
        <w:t xml:space="preserve"> assumes 60gpd </w:t>
      </w:r>
      <w:r w:rsidR="00D469AC">
        <w:t xml:space="preserve">per person </w:t>
      </w:r>
      <w:r>
        <w:t>indoor use per person and an average lawn size, based on irrigated footprint analysis</w:t>
      </w:r>
      <w:r w:rsidR="00D469AC">
        <w:t xml:space="preserve"> (results above)</w:t>
      </w:r>
    </w:p>
    <w:p w14:paraId="7CA20C21" w14:textId="2E16A425" w:rsidR="00B04400" w:rsidRDefault="00B04400" w:rsidP="00D469AC">
      <w:pPr>
        <w:pStyle w:val="ListParagraph"/>
        <w:numPr>
          <w:ilvl w:val="1"/>
          <w:numId w:val="29"/>
        </w:numPr>
        <w:contextualSpacing w:val="0"/>
      </w:pPr>
      <w:r w:rsidRPr="00D469AC">
        <w:rPr>
          <w:b/>
        </w:rPr>
        <w:t>Scenario 2:</w:t>
      </w:r>
      <w:r>
        <w:t xml:space="preserve"> assume </w:t>
      </w:r>
      <w:r w:rsidR="00D469AC">
        <w:t xml:space="preserve">60 gpd per person and </w:t>
      </w:r>
      <w:r>
        <w:t>½ acre irrigated lawn area</w:t>
      </w:r>
    </w:p>
    <w:p w14:paraId="039F21BF" w14:textId="2247A641" w:rsidR="00D469AC" w:rsidRPr="00D469AC" w:rsidRDefault="00D469AC" w:rsidP="00D469AC">
      <w:pPr>
        <w:pStyle w:val="ListParagraph"/>
        <w:numPr>
          <w:ilvl w:val="2"/>
          <w:numId w:val="29"/>
        </w:numPr>
        <w:rPr>
          <w:b/>
        </w:rPr>
      </w:pPr>
      <w:r w:rsidRPr="00D469AC">
        <w:rPr>
          <w:b/>
        </w:rPr>
        <w:t xml:space="preserve">Consumptive use </w:t>
      </w:r>
      <w:r>
        <w:rPr>
          <w:b/>
        </w:rPr>
        <w:t xml:space="preserve">result </w:t>
      </w:r>
      <w:r w:rsidRPr="00D469AC">
        <w:rPr>
          <w:b/>
        </w:rPr>
        <w:t>is 1,885 acre-feet per year (2.6 cfs).</w:t>
      </w:r>
    </w:p>
    <w:p w14:paraId="6FB83F21" w14:textId="4B3E62EE" w:rsidR="00B04400" w:rsidRDefault="00B04400" w:rsidP="00D469AC">
      <w:pPr>
        <w:pStyle w:val="ListParagraph"/>
        <w:numPr>
          <w:ilvl w:val="1"/>
          <w:numId w:val="29"/>
        </w:numPr>
        <w:contextualSpacing w:val="0"/>
      </w:pPr>
      <w:r w:rsidRPr="00D469AC">
        <w:rPr>
          <w:b/>
        </w:rPr>
        <w:t>Scenario 3:</w:t>
      </w:r>
      <w:r w:rsidRPr="00116CC0">
        <w:t xml:space="preserve"> assume 950 gpd </w:t>
      </w:r>
      <w:r>
        <w:t>annual average</w:t>
      </w:r>
    </w:p>
    <w:p w14:paraId="33661CCD" w14:textId="36574045" w:rsidR="00D469AC" w:rsidRDefault="00D469AC" w:rsidP="00D469AC">
      <w:pPr>
        <w:pStyle w:val="ListParagraph"/>
        <w:numPr>
          <w:ilvl w:val="2"/>
          <w:numId w:val="29"/>
        </w:numPr>
        <w:contextualSpacing w:val="0"/>
      </w:pPr>
      <w:r w:rsidRPr="00116CC0">
        <w:t>Assumes</w:t>
      </w:r>
      <w:r>
        <w:t xml:space="preserve"> indoor use of 60 gpd per person indoor use and the rest for outdoor use</w:t>
      </w:r>
    </w:p>
    <w:p w14:paraId="3D68C018" w14:textId="4200ECC2" w:rsidR="00D469AC" w:rsidRPr="00116CC0" w:rsidRDefault="00D469AC" w:rsidP="00D469AC">
      <w:pPr>
        <w:pStyle w:val="ListParagraph"/>
        <w:numPr>
          <w:ilvl w:val="2"/>
          <w:numId w:val="29"/>
        </w:numPr>
        <w:contextualSpacing w:val="0"/>
      </w:pPr>
      <w:r w:rsidRPr="00D47F1B">
        <w:rPr>
          <w:b/>
        </w:rPr>
        <w:t>Consumptive use</w:t>
      </w:r>
      <w:r>
        <w:rPr>
          <w:b/>
        </w:rPr>
        <w:t xml:space="preserve"> result</w:t>
      </w:r>
      <w:r w:rsidRPr="00D47F1B">
        <w:rPr>
          <w:b/>
        </w:rPr>
        <w:t xml:space="preserve"> is 2,448 acre feet per year (3.38 cfs).</w:t>
      </w:r>
    </w:p>
    <w:p w14:paraId="558FBA23" w14:textId="498B732C" w:rsidR="00B04400" w:rsidRDefault="00B04400" w:rsidP="00D469AC">
      <w:pPr>
        <w:pStyle w:val="ListParagraph"/>
        <w:numPr>
          <w:ilvl w:val="1"/>
          <w:numId w:val="29"/>
        </w:numPr>
        <w:contextualSpacing w:val="0"/>
      </w:pPr>
      <w:r w:rsidRPr="0085112B">
        <w:rPr>
          <w:b/>
        </w:rPr>
        <w:lastRenderedPageBreak/>
        <w:t>Scenario 4:</w:t>
      </w:r>
      <w:r>
        <w:t xml:space="preserve"> provides a comparison to</w:t>
      </w:r>
      <w:r w:rsidR="00D469AC">
        <w:t xml:space="preserve"> average household water use for</w:t>
      </w:r>
      <w:r>
        <w:t xml:space="preserve"> a local water purveyor </w:t>
      </w:r>
      <w:r w:rsidR="00D469AC">
        <w:t>(Snohomish PUD)</w:t>
      </w:r>
    </w:p>
    <w:p w14:paraId="7F7A37CF" w14:textId="1625A727" w:rsidR="00D469AC" w:rsidRPr="00D469AC" w:rsidRDefault="00D469AC" w:rsidP="00D469AC">
      <w:pPr>
        <w:pStyle w:val="ListParagraph"/>
        <w:numPr>
          <w:ilvl w:val="2"/>
          <w:numId w:val="29"/>
        </w:numPr>
        <w:rPr>
          <w:b/>
        </w:rPr>
      </w:pPr>
      <w:r>
        <w:rPr>
          <w:b/>
        </w:rPr>
        <w:t xml:space="preserve">Consumptive use result is 261.6 acre-feet per year (0.36 cfs). </w:t>
      </w:r>
    </w:p>
    <w:p w14:paraId="24F0B42D" w14:textId="598E54DE" w:rsidR="00B04400" w:rsidRDefault="00B04400" w:rsidP="00D469AC">
      <w:pPr>
        <w:pStyle w:val="ListParagraph"/>
        <w:numPr>
          <w:ilvl w:val="0"/>
          <w:numId w:val="29"/>
        </w:numPr>
        <w:contextualSpacing w:val="0"/>
      </w:pPr>
      <w:r>
        <w:t>Summer Consumptive Use Summary of Scenarios (</w:t>
      </w:r>
      <w:r w:rsidR="00756203">
        <w:t xml:space="preserve">“Summary Summer” tab) </w:t>
      </w:r>
      <w:r>
        <w:t>shows the water use in June, July and August for scenarios 1 through 4</w:t>
      </w:r>
    </w:p>
    <w:p w14:paraId="445AB78B" w14:textId="3C14C3B7" w:rsidR="0085112B" w:rsidRPr="0085112B" w:rsidRDefault="0085112B" w:rsidP="0085112B">
      <w:pPr>
        <w:pStyle w:val="ListParagraph"/>
        <w:numPr>
          <w:ilvl w:val="1"/>
          <w:numId w:val="29"/>
        </w:numPr>
        <w:contextualSpacing w:val="0"/>
        <w:rPr>
          <w:b/>
        </w:rPr>
      </w:pPr>
      <w:r w:rsidRPr="0085112B">
        <w:rPr>
          <w:b/>
        </w:rPr>
        <w:t xml:space="preserve">Consumptive use results for scenario 1 are 641 acre-feet (3.51 cfs).  </w:t>
      </w:r>
    </w:p>
    <w:p w14:paraId="413CD5D3" w14:textId="3DBFB00E" w:rsidR="00B04400" w:rsidRDefault="00B04400" w:rsidP="00D469AC">
      <w:pPr>
        <w:pStyle w:val="ListParagraph"/>
        <w:numPr>
          <w:ilvl w:val="0"/>
          <w:numId w:val="29"/>
        </w:numPr>
        <w:contextualSpacing w:val="0"/>
      </w:pPr>
      <w:r>
        <w:t>The “C</w:t>
      </w:r>
      <w:r w:rsidR="00756203">
        <w:t>ALC” tabs allow users to input their</w:t>
      </w:r>
      <w:r>
        <w:t xml:space="preserve"> own assumptions at the subbasin or WRIA scale. Results are shown on the summary tabs in the first table “Active Scenario”</w:t>
      </w:r>
    </w:p>
    <w:p w14:paraId="2179C57B" w14:textId="77777777" w:rsidR="00D47F1B" w:rsidRDefault="00D47F1B" w:rsidP="00D47F1B">
      <w:pPr>
        <w:pStyle w:val="ListParagraph"/>
        <w:ind w:left="1800"/>
        <w:contextualSpacing w:val="0"/>
      </w:pPr>
    </w:p>
    <w:p w14:paraId="5197C008" w14:textId="4D4A3E31" w:rsidR="00D47F1B" w:rsidRDefault="0085112B" w:rsidP="00756203">
      <w:r>
        <w:t>Questions and Discussion</w:t>
      </w:r>
    </w:p>
    <w:p w14:paraId="0F56503E" w14:textId="2E729721" w:rsidR="00AF4C8B" w:rsidRDefault="00302227" w:rsidP="00AF4C8B">
      <w:pPr>
        <w:pStyle w:val="ListParagraph"/>
        <w:numPr>
          <w:ilvl w:val="0"/>
          <w:numId w:val="44"/>
        </w:numPr>
      </w:pPr>
      <w:r>
        <w:t xml:space="preserve">How is the scenario 1 summer result 3.41 cfs but the annual result 1.1 cfs? </w:t>
      </w:r>
    </w:p>
    <w:p w14:paraId="21C4BB66" w14:textId="248B4EAF" w:rsidR="00A60D25" w:rsidRDefault="00302227" w:rsidP="00302227">
      <w:pPr>
        <w:pStyle w:val="ListParagraph"/>
        <w:numPr>
          <w:ilvl w:val="1"/>
          <w:numId w:val="44"/>
        </w:numPr>
      </w:pPr>
      <w:r>
        <w:t xml:space="preserve">The </w:t>
      </w:r>
      <w:r w:rsidR="00A60D25">
        <w:t xml:space="preserve">majority of water use occurs during the summer and the majority of consumptive use is from outdoor irrigation. </w:t>
      </w:r>
    </w:p>
    <w:p w14:paraId="536043F4" w14:textId="7D1C9717" w:rsidR="00302227" w:rsidRDefault="00A60D25" w:rsidP="00302227">
      <w:pPr>
        <w:pStyle w:val="ListParagraph"/>
        <w:numPr>
          <w:ilvl w:val="1"/>
          <w:numId w:val="44"/>
        </w:numPr>
      </w:pPr>
      <w:r>
        <w:t xml:space="preserve">The summer scenario assumes the volume of water used during the summer period (641 acre-feet) converted into an instantaneous rate (3.41 cfs) over the three month period. In contrast, the annual scenario spreads out the annual volume of water (797.4 ace-feet) over a longer period, so the instantaneous rate is lower (1.1 cfs). </w:t>
      </w:r>
    </w:p>
    <w:p w14:paraId="6F162DB4" w14:textId="285B154E" w:rsidR="0085112B" w:rsidRPr="0085112B" w:rsidRDefault="00AF4C8B" w:rsidP="00263C8E">
      <w:pPr>
        <w:pStyle w:val="ListParagraph"/>
        <w:numPr>
          <w:ilvl w:val="1"/>
          <w:numId w:val="44"/>
        </w:numPr>
      </w:pPr>
      <w:r>
        <w:t xml:space="preserve">The summer scenario instantaneous rate (cfs) calculation does not take into account local geology or the time it would take consumptive use impacts to reach a stream. This scenario is for comparison. </w:t>
      </w:r>
    </w:p>
    <w:p w14:paraId="4521023F" w14:textId="77777777" w:rsidR="00D47F1B" w:rsidRDefault="00D47F1B" w:rsidP="00D47F1B">
      <w:pPr>
        <w:pStyle w:val="ListParagraph"/>
        <w:ind w:left="1800"/>
      </w:pPr>
    </w:p>
    <w:p w14:paraId="6446D1D4" w14:textId="67F4E778" w:rsidR="002725AB" w:rsidRDefault="00D5622A" w:rsidP="00D5622A">
      <w:pPr>
        <w:pStyle w:val="ListParagraph"/>
        <w:numPr>
          <w:ilvl w:val="0"/>
          <w:numId w:val="29"/>
        </w:numPr>
      </w:pPr>
      <w:r>
        <w:t>Next Steps</w:t>
      </w:r>
    </w:p>
    <w:p w14:paraId="26B6F421" w14:textId="734BDF43" w:rsidR="00F23508" w:rsidRPr="001407F5" w:rsidRDefault="00233C03" w:rsidP="00F23508">
      <w:pPr>
        <w:pStyle w:val="ListParagraph"/>
        <w:numPr>
          <w:ilvl w:val="1"/>
          <w:numId w:val="29"/>
        </w:numPr>
        <w:rPr>
          <w:rFonts w:cstheme="minorBidi"/>
          <w:bCs/>
        </w:rPr>
      </w:pPr>
      <w:r>
        <w:rPr>
          <w:rFonts w:cstheme="minorBidi"/>
          <w:bCs/>
        </w:rPr>
        <w:t>Technical consultants will</w:t>
      </w:r>
      <w:r w:rsidR="00F23508" w:rsidRPr="001407F5">
        <w:rPr>
          <w:rFonts w:cstheme="minorBidi"/>
          <w:bCs/>
        </w:rPr>
        <w:t xml:space="preserve"> present the CU estimates to the Committee in December. </w:t>
      </w:r>
    </w:p>
    <w:p w14:paraId="7570C62B" w14:textId="1D068D7D" w:rsidR="006A2185" w:rsidRDefault="006A2185" w:rsidP="006A2185">
      <w:pPr>
        <w:pStyle w:val="ListParagraph"/>
        <w:numPr>
          <w:ilvl w:val="1"/>
          <w:numId w:val="29"/>
        </w:numPr>
      </w:pPr>
      <w:r w:rsidRPr="006A2185">
        <w:rPr>
          <w:rFonts w:cstheme="minorBidi"/>
          <w:bCs/>
        </w:rPr>
        <w:t>Technical workgroup members can use the calculator spreadsheet to</w:t>
      </w:r>
      <w:r w:rsidR="002725AB" w:rsidRPr="006A2185">
        <w:rPr>
          <w:rFonts w:cstheme="minorBidi"/>
          <w:bCs/>
        </w:rPr>
        <w:t xml:space="preserve"> test scenarios &amp; sensitivity. </w:t>
      </w:r>
      <w:r w:rsidRPr="006A2185">
        <w:rPr>
          <w:rFonts w:cstheme="minorBidi"/>
          <w:bCs/>
        </w:rPr>
        <w:t xml:space="preserve">Next </w:t>
      </w:r>
      <w:r>
        <w:rPr>
          <w:rFonts w:cstheme="minorBidi"/>
          <w:bCs/>
        </w:rPr>
        <w:t xml:space="preserve">meeting the </w:t>
      </w:r>
      <w:r w:rsidRPr="006A2185">
        <w:rPr>
          <w:rFonts w:cstheme="minorBidi"/>
          <w:bCs/>
        </w:rPr>
        <w:t>technical workgroup w</w:t>
      </w:r>
      <w:r>
        <w:rPr>
          <w:rFonts w:cstheme="minorBidi"/>
          <w:bCs/>
        </w:rPr>
        <w:t xml:space="preserve">ill discuss recommendations for the offset target. </w:t>
      </w:r>
    </w:p>
    <w:p w14:paraId="503A80BD" w14:textId="5080BA1D" w:rsidR="00C64A47" w:rsidRDefault="006838D8" w:rsidP="006A2185">
      <w:pPr>
        <w:pStyle w:val="Heading1"/>
      </w:pPr>
      <w:r w:rsidRPr="006838D8">
        <w:t>Wat</w:t>
      </w:r>
      <w:r w:rsidR="00C64A47">
        <w:t>er service connection policies</w:t>
      </w:r>
    </w:p>
    <w:p w14:paraId="4C5E4ED1" w14:textId="262555B1" w:rsidR="00C64A47" w:rsidRDefault="00C64A47" w:rsidP="00C64A47">
      <w:pPr>
        <w:pStyle w:val="ListParagraph"/>
        <w:numPr>
          <w:ilvl w:val="0"/>
          <w:numId w:val="33"/>
        </w:numPr>
        <w:ind w:left="360"/>
      </w:pPr>
      <w:r>
        <w:t>Objective: Discuss proposal to conduct outreach to water purveyors and cities</w:t>
      </w:r>
    </w:p>
    <w:p w14:paraId="759B9DB0" w14:textId="77777777" w:rsidR="006A2185" w:rsidRDefault="006A2185" w:rsidP="006A2185"/>
    <w:p w14:paraId="01553BE6" w14:textId="3606DD4B" w:rsidR="00962557" w:rsidRDefault="006A2185" w:rsidP="006A2185">
      <w:r>
        <w:t xml:space="preserve">Ingria </w:t>
      </w:r>
      <w:r w:rsidR="00962557">
        <w:t>reached out to cities</w:t>
      </w:r>
      <w:r>
        <w:t xml:space="preserve"> on the commit last spring to ask u</w:t>
      </w:r>
      <w:r w:rsidRPr="006A2185">
        <w:t xml:space="preserve">nder what circumstances </w:t>
      </w:r>
      <w:r>
        <w:t>they</w:t>
      </w:r>
      <w:r w:rsidRPr="006A2185">
        <w:t xml:space="preserve"> allow permit-exempt wells within </w:t>
      </w:r>
      <w:r>
        <w:t xml:space="preserve">their city limits and showed the responses. </w:t>
      </w:r>
    </w:p>
    <w:p w14:paraId="19E12152" w14:textId="77777777" w:rsidR="006A2185" w:rsidRDefault="006A2185" w:rsidP="006A2185"/>
    <w:p w14:paraId="1D63BB70" w14:textId="6FCDA8AB" w:rsidR="006A2185" w:rsidRDefault="006A2185" w:rsidP="006A2185">
      <w:r>
        <w:t xml:space="preserve">Matt Baerwalde would like to understand water purveyor policies regarding allowing permit-exempt wells. This information would be used to inform committee discussions and potentially recommendations for the Plan. Matt requested assistance in contacting water providers in WRIA 7. </w:t>
      </w:r>
    </w:p>
    <w:p w14:paraId="79DC9821" w14:textId="77777777" w:rsidR="006A2185" w:rsidRDefault="006A2185" w:rsidP="006A2185"/>
    <w:p w14:paraId="2491CB27" w14:textId="3601B07E" w:rsidR="009A67BB" w:rsidRDefault="009A67BB" w:rsidP="006A2185">
      <w:r>
        <w:t xml:space="preserve">Mike </w:t>
      </w:r>
      <w:r w:rsidR="006A2185">
        <w:t xml:space="preserve">Wolanek </w:t>
      </w:r>
      <w:r>
        <w:t xml:space="preserve">volunteered </w:t>
      </w:r>
      <w:r w:rsidR="006A2185">
        <w:t xml:space="preserve">to contact water providers near Arlington, in the northwestern portion of the WRIA. </w:t>
      </w:r>
    </w:p>
    <w:p w14:paraId="486F849E" w14:textId="2E8EE129" w:rsidR="00F23508" w:rsidRDefault="00F23508" w:rsidP="006A2185"/>
    <w:p w14:paraId="3A60B118" w14:textId="0EE3C127" w:rsidR="006A2185" w:rsidRPr="001407F5" w:rsidRDefault="006A2185" w:rsidP="006A2185">
      <w:r>
        <w:t xml:space="preserve">Next Steps: Matt and Mike will report back in January on their initial results. </w:t>
      </w:r>
    </w:p>
    <w:p w14:paraId="42178F80" w14:textId="10A2FCF4" w:rsidR="00872774" w:rsidRDefault="0044059E" w:rsidP="00872774">
      <w:pPr>
        <w:pStyle w:val="Heading1"/>
      </w:pPr>
      <w:r>
        <w:t>Next Steps and Action I</w:t>
      </w:r>
      <w:r w:rsidR="00872774">
        <w:t>tems</w:t>
      </w:r>
    </w:p>
    <w:p w14:paraId="46F6E862" w14:textId="77777777" w:rsidR="006A2185" w:rsidRDefault="006A2185" w:rsidP="00C64A47">
      <w:pPr>
        <w:pStyle w:val="ListParagraph"/>
        <w:numPr>
          <w:ilvl w:val="0"/>
          <w:numId w:val="31"/>
        </w:numPr>
        <w:ind w:left="360"/>
        <w:rPr>
          <w:bCs/>
          <w:color w:val="000000" w:themeColor="text1"/>
        </w:rPr>
      </w:pPr>
      <w:r>
        <w:rPr>
          <w:bCs/>
          <w:color w:val="000000" w:themeColor="text1"/>
        </w:rPr>
        <w:t xml:space="preserve">Workgroup members begin to think about ways to develop an offset target and familiarize yourself with the consumptive use spreadsheet. </w:t>
      </w:r>
    </w:p>
    <w:p w14:paraId="23935B0C" w14:textId="75688D05" w:rsidR="00C64A47" w:rsidRDefault="006A2185" w:rsidP="00C64A47">
      <w:pPr>
        <w:pStyle w:val="ListParagraph"/>
        <w:numPr>
          <w:ilvl w:val="0"/>
          <w:numId w:val="31"/>
        </w:numPr>
        <w:ind w:left="360"/>
        <w:rPr>
          <w:bCs/>
          <w:color w:val="000000" w:themeColor="text1"/>
        </w:rPr>
      </w:pPr>
      <w:r>
        <w:rPr>
          <w:bCs/>
          <w:color w:val="000000" w:themeColor="text1"/>
        </w:rPr>
        <w:t xml:space="preserve">Matt will provide a report-out to the committee in December. </w:t>
      </w:r>
    </w:p>
    <w:p w14:paraId="3243DBAA" w14:textId="244FC709" w:rsidR="00872774" w:rsidRPr="00C64A47" w:rsidRDefault="00872774" w:rsidP="00C64A47">
      <w:pPr>
        <w:pStyle w:val="ListParagraph"/>
        <w:numPr>
          <w:ilvl w:val="0"/>
          <w:numId w:val="31"/>
        </w:numPr>
        <w:ind w:left="360"/>
        <w:rPr>
          <w:bCs/>
          <w:color w:val="000000" w:themeColor="text1"/>
        </w:rPr>
      </w:pPr>
      <w:r w:rsidRPr="00C64A47">
        <w:rPr>
          <w:bCs/>
          <w:color w:val="000000" w:themeColor="text1"/>
        </w:rPr>
        <w:t xml:space="preserve">Next </w:t>
      </w:r>
      <w:r w:rsidR="00BC7B16" w:rsidRPr="00C64A47">
        <w:rPr>
          <w:bCs/>
          <w:color w:val="000000" w:themeColor="text1"/>
        </w:rPr>
        <w:t xml:space="preserve">Committee </w:t>
      </w:r>
      <w:r w:rsidRPr="00C64A47">
        <w:rPr>
          <w:bCs/>
          <w:color w:val="000000" w:themeColor="text1"/>
        </w:rPr>
        <w:t>Meeting:</w:t>
      </w:r>
      <w:r w:rsidR="00C64A47">
        <w:rPr>
          <w:bCs/>
          <w:color w:val="000000" w:themeColor="text1"/>
        </w:rPr>
        <w:t xml:space="preserve"> December 12, Willis Tucker Community Park </w:t>
      </w:r>
    </w:p>
    <w:p w14:paraId="20CBCCAB" w14:textId="51424102" w:rsidR="00905DA9" w:rsidRDefault="00BC7B16" w:rsidP="00C64A47">
      <w:pPr>
        <w:pStyle w:val="ListParagraph"/>
        <w:numPr>
          <w:ilvl w:val="0"/>
          <w:numId w:val="29"/>
        </w:numPr>
      </w:pPr>
      <w:r>
        <w:t>Next Technical Workgroup Meeting:</w:t>
      </w:r>
      <w:r w:rsidR="00C64A47">
        <w:t xml:space="preserve"> </w:t>
      </w:r>
      <w:r>
        <w:t>Date TBD</w:t>
      </w:r>
      <w:r w:rsidR="00AE3A38">
        <w:t xml:space="preserve">; </w:t>
      </w:r>
      <w:r w:rsidR="009A67BB">
        <w:t>Doodle Poll for webex or in person</w:t>
      </w:r>
    </w:p>
    <w:p w14:paraId="75C4D432" w14:textId="77777777" w:rsidR="006A2185" w:rsidRDefault="006A2185" w:rsidP="006A2185">
      <w:pPr>
        <w:pStyle w:val="ListParagraph"/>
        <w:ind w:left="360"/>
      </w:pPr>
    </w:p>
    <w:p w14:paraId="3DE18ED0" w14:textId="5275BD40" w:rsidR="009A67BB" w:rsidRPr="00872774" w:rsidRDefault="009A67BB" w:rsidP="006A2185"/>
    <w:sectPr w:rsidR="009A67BB" w:rsidRPr="00872774" w:rsidSect="00CF3536">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4D6A8" w14:textId="77777777" w:rsidR="00B26F89" w:rsidRDefault="00B26F89" w:rsidP="00E34A0C">
      <w:r>
        <w:separator/>
      </w:r>
    </w:p>
  </w:endnote>
  <w:endnote w:type="continuationSeparator" w:id="0">
    <w:p w14:paraId="3F91615A" w14:textId="77777777" w:rsidR="00B26F89" w:rsidRDefault="00B26F89" w:rsidP="00E34A0C">
      <w:r>
        <w:continuationSeparator/>
      </w:r>
    </w:p>
  </w:endnote>
  <w:endnote w:type="continuationNotice" w:id="1">
    <w:p w14:paraId="7A721257" w14:textId="77777777" w:rsidR="00B26F89" w:rsidRDefault="00B2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8056" w14:textId="77777777" w:rsidR="00B26F89" w:rsidRDefault="00B26F89" w:rsidP="00E34A0C">
      <w:r>
        <w:separator/>
      </w:r>
    </w:p>
  </w:footnote>
  <w:footnote w:type="continuationSeparator" w:id="0">
    <w:p w14:paraId="19C23819" w14:textId="77777777" w:rsidR="00B26F89" w:rsidRDefault="00B26F89" w:rsidP="00E34A0C">
      <w:r>
        <w:continuationSeparator/>
      </w:r>
    </w:p>
  </w:footnote>
  <w:footnote w:type="continuationNotice" w:id="1">
    <w:p w14:paraId="4A332FB3" w14:textId="77777777" w:rsidR="00B26F89" w:rsidRDefault="00B26F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7A9"/>
    <w:multiLevelType w:val="hybridMultilevel"/>
    <w:tmpl w:val="0814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D486C"/>
    <w:multiLevelType w:val="hybridMultilevel"/>
    <w:tmpl w:val="127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7A8E"/>
    <w:multiLevelType w:val="hybridMultilevel"/>
    <w:tmpl w:val="B3346242"/>
    <w:lvl w:ilvl="0" w:tplc="8604AF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2D65"/>
    <w:multiLevelType w:val="hybridMultilevel"/>
    <w:tmpl w:val="72AC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26F3"/>
    <w:multiLevelType w:val="hybridMultilevel"/>
    <w:tmpl w:val="79AAFE02"/>
    <w:lvl w:ilvl="0" w:tplc="F7EA8526">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276BF"/>
    <w:multiLevelType w:val="hybridMultilevel"/>
    <w:tmpl w:val="AFB2EB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62FBB"/>
    <w:multiLevelType w:val="hybridMultilevel"/>
    <w:tmpl w:val="BFF6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4D19"/>
    <w:multiLevelType w:val="hybridMultilevel"/>
    <w:tmpl w:val="141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813C4"/>
    <w:multiLevelType w:val="hybridMultilevel"/>
    <w:tmpl w:val="CED6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C74BCF"/>
    <w:multiLevelType w:val="hybridMultilevel"/>
    <w:tmpl w:val="31FC1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B0866"/>
    <w:multiLevelType w:val="hybridMultilevel"/>
    <w:tmpl w:val="A0F41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46C8E"/>
    <w:multiLevelType w:val="hybridMultilevel"/>
    <w:tmpl w:val="BFF4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54323"/>
    <w:multiLevelType w:val="hybridMultilevel"/>
    <w:tmpl w:val="B6B84614"/>
    <w:lvl w:ilvl="0" w:tplc="DA963332">
      <w:start w:val="1"/>
      <w:numFmt w:val="decimal"/>
      <w:lvlText w:val="%1."/>
      <w:lvlJc w:val="left"/>
      <w:pPr>
        <w:tabs>
          <w:tab w:val="num" w:pos="720"/>
        </w:tabs>
        <w:ind w:left="720" w:hanging="360"/>
      </w:pPr>
    </w:lvl>
    <w:lvl w:ilvl="1" w:tplc="721891DE" w:tentative="1">
      <w:start w:val="1"/>
      <w:numFmt w:val="decimal"/>
      <w:lvlText w:val="%2."/>
      <w:lvlJc w:val="left"/>
      <w:pPr>
        <w:tabs>
          <w:tab w:val="num" w:pos="1440"/>
        </w:tabs>
        <w:ind w:left="1440" w:hanging="360"/>
      </w:pPr>
    </w:lvl>
    <w:lvl w:ilvl="2" w:tplc="53D43D18" w:tentative="1">
      <w:start w:val="1"/>
      <w:numFmt w:val="decimal"/>
      <w:lvlText w:val="%3."/>
      <w:lvlJc w:val="left"/>
      <w:pPr>
        <w:tabs>
          <w:tab w:val="num" w:pos="2160"/>
        </w:tabs>
        <w:ind w:left="2160" w:hanging="360"/>
      </w:pPr>
    </w:lvl>
    <w:lvl w:ilvl="3" w:tplc="2CC87274" w:tentative="1">
      <w:start w:val="1"/>
      <w:numFmt w:val="decimal"/>
      <w:lvlText w:val="%4."/>
      <w:lvlJc w:val="left"/>
      <w:pPr>
        <w:tabs>
          <w:tab w:val="num" w:pos="2880"/>
        </w:tabs>
        <w:ind w:left="2880" w:hanging="360"/>
      </w:pPr>
    </w:lvl>
    <w:lvl w:ilvl="4" w:tplc="4D40F3B8" w:tentative="1">
      <w:start w:val="1"/>
      <w:numFmt w:val="decimal"/>
      <w:lvlText w:val="%5."/>
      <w:lvlJc w:val="left"/>
      <w:pPr>
        <w:tabs>
          <w:tab w:val="num" w:pos="3600"/>
        </w:tabs>
        <w:ind w:left="3600" w:hanging="360"/>
      </w:pPr>
    </w:lvl>
    <w:lvl w:ilvl="5" w:tplc="87B6CF3C" w:tentative="1">
      <w:start w:val="1"/>
      <w:numFmt w:val="decimal"/>
      <w:lvlText w:val="%6."/>
      <w:lvlJc w:val="left"/>
      <w:pPr>
        <w:tabs>
          <w:tab w:val="num" w:pos="4320"/>
        </w:tabs>
        <w:ind w:left="4320" w:hanging="360"/>
      </w:pPr>
    </w:lvl>
    <w:lvl w:ilvl="6" w:tplc="D8CEF2A0" w:tentative="1">
      <w:start w:val="1"/>
      <w:numFmt w:val="decimal"/>
      <w:lvlText w:val="%7."/>
      <w:lvlJc w:val="left"/>
      <w:pPr>
        <w:tabs>
          <w:tab w:val="num" w:pos="5040"/>
        </w:tabs>
        <w:ind w:left="5040" w:hanging="360"/>
      </w:pPr>
    </w:lvl>
    <w:lvl w:ilvl="7" w:tplc="889657EC" w:tentative="1">
      <w:start w:val="1"/>
      <w:numFmt w:val="decimal"/>
      <w:lvlText w:val="%8."/>
      <w:lvlJc w:val="left"/>
      <w:pPr>
        <w:tabs>
          <w:tab w:val="num" w:pos="5760"/>
        </w:tabs>
        <w:ind w:left="5760" w:hanging="360"/>
      </w:pPr>
    </w:lvl>
    <w:lvl w:ilvl="8" w:tplc="57641CA2" w:tentative="1">
      <w:start w:val="1"/>
      <w:numFmt w:val="decimal"/>
      <w:lvlText w:val="%9."/>
      <w:lvlJc w:val="left"/>
      <w:pPr>
        <w:tabs>
          <w:tab w:val="num" w:pos="6480"/>
        </w:tabs>
        <w:ind w:left="6480" w:hanging="360"/>
      </w:pPr>
    </w:lvl>
  </w:abstractNum>
  <w:abstractNum w:abstractNumId="25"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53342"/>
    <w:multiLevelType w:val="hybridMultilevel"/>
    <w:tmpl w:val="F690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C40BC"/>
    <w:multiLevelType w:val="hybridMultilevel"/>
    <w:tmpl w:val="6BE6E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157D7"/>
    <w:multiLevelType w:val="hybridMultilevel"/>
    <w:tmpl w:val="5CBC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8473B"/>
    <w:multiLevelType w:val="hybridMultilevel"/>
    <w:tmpl w:val="BB88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D11FD"/>
    <w:multiLevelType w:val="hybridMultilevel"/>
    <w:tmpl w:val="2C341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B2876"/>
    <w:multiLevelType w:val="hybridMultilevel"/>
    <w:tmpl w:val="BCF815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214EE"/>
    <w:multiLevelType w:val="hybridMultilevel"/>
    <w:tmpl w:val="2C94A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2"/>
  </w:num>
  <w:num w:numId="3">
    <w:abstractNumId w:val="32"/>
  </w:num>
  <w:num w:numId="4">
    <w:abstractNumId w:val="30"/>
  </w:num>
  <w:num w:numId="5">
    <w:abstractNumId w:val="25"/>
  </w:num>
  <w:num w:numId="6">
    <w:abstractNumId w:val="12"/>
  </w:num>
  <w:num w:numId="7">
    <w:abstractNumId w:val="7"/>
  </w:num>
  <w:num w:numId="8">
    <w:abstractNumId w:val="23"/>
  </w:num>
  <w:num w:numId="9">
    <w:abstractNumId w:val="8"/>
  </w:num>
  <w:num w:numId="10">
    <w:abstractNumId w:val="28"/>
  </w:num>
  <w:num w:numId="11">
    <w:abstractNumId w:val="15"/>
  </w:num>
  <w:num w:numId="12">
    <w:abstractNumId w:val="26"/>
  </w:num>
  <w:num w:numId="13">
    <w:abstractNumId w:val="20"/>
  </w:num>
  <w:num w:numId="14">
    <w:abstractNumId w:val="31"/>
  </w:num>
  <w:num w:numId="15">
    <w:abstractNumId w:val="5"/>
  </w:num>
  <w:num w:numId="16">
    <w:abstractNumId w:val="15"/>
  </w:num>
  <w:num w:numId="17">
    <w:abstractNumId w:val="14"/>
  </w:num>
  <w:num w:numId="18">
    <w:abstractNumId w:val="18"/>
  </w:num>
  <w:num w:numId="19">
    <w:abstractNumId w:val="34"/>
  </w:num>
  <w:num w:numId="20">
    <w:abstractNumId w:val="10"/>
  </w:num>
  <w:num w:numId="21">
    <w:abstractNumId w:val="39"/>
  </w:num>
  <w:num w:numId="22">
    <w:abstractNumId w:val="33"/>
  </w:num>
  <w:num w:numId="23">
    <w:abstractNumId w:val="13"/>
  </w:num>
  <w:num w:numId="24">
    <w:abstractNumId w:val="19"/>
  </w:num>
  <w:num w:numId="25">
    <w:abstractNumId w:val="38"/>
  </w:num>
  <w:num w:numId="26">
    <w:abstractNumId w:val="2"/>
  </w:num>
  <w:num w:numId="27">
    <w:abstractNumId w:val="38"/>
  </w:num>
  <w:num w:numId="28">
    <w:abstractNumId w:val="34"/>
  </w:num>
  <w:num w:numId="29">
    <w:abstractNumId w:val="19"/>
  </w:num>
  <w:num w:numId="30">
    <w:abstractNumId w:val="4"/>
  </w:num>
  <w:num w:numId="31">
    <w:abstractNumId w:val="3"/>
  </w:num>
  <w:num w:numId="32">
    <w:abstractNumId w:val="35"/>
  </w:num>
  <w:num w:numId="33">
    <w:abstractNumId w:val="36"/>
  </w:num>
  <w:num w:numId="34">
    <w:abstractNumId w:val="9"/>
  </w:num>
  <w:num w:numId="35">
    <w:abstractNumId w:val="17"/>
  </w:num>
  <w:num w:numId="36">
    <w:abstractNumId w:val="6"/>
  </w:num>
  <w:num w:numId="37">
    <w:abstractNumId w:val="37"/>
  </w:num>
  <w:num w:numId="38">
    <w:abstractNumId w:val="29"/>
  </w:num>
  <w:num w:numId="39">
    <w:abstractNumId w:val="1"/>
  </w:num>
  <w:num w:numId="40">
    <w:abstractNumId w:val="11"/>
  </w:num>
  <w:num w:numId="41">
    <w:abstractNumId w:val="24"/>
  </w:num>
  <w:num w:numId="42">
    <w:abstractNumId w:val="27"/>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24E1"/>
    <w:rsid w:val="00042625"/>
    <w:rsid w:val="00060A54"/>
    <w:rsid w:val="000729A5"/>
    <w:rsid w:val="00077EC9"/>
    <w:rsid w:val="000806EA"/>
    <w:rsid w:val="000952E5"/>
    <w:rsid w:val="00096E25"/>
    <w:rsid w:val="000A39F4"/>
    <w:rsid w:val="000A732B"/>
    <w:rsid w:val="000B45E1"/>
    <w:rsid w:val="000B53FB"/>
    <w:rsid w:val="000B5BA1"/>
    <w:rsid w:val="000B65AA"/>
    <w:rsid w:val="000D4AF2"/>
    <w:rsid w:val="000E6F73"/>
    <w:rsid w:val="000F260A"/>
    <w:rsid w:val="000F2C37"/>
    <w:rsid w:val="000F3546"/>
    <w:rsid w:val="000F6243"/>
    <w:rsid w:val="000F688A"/>
    <w:rsid w:val="001010F9"/>
    <w:rsid w:val="0013152F"/>
    <w:rsid w:val="001407F5"/>
    <w:rsid w:val="00146D02"/>
    <w:rsid w:val="00150AFC"/>
    <w:rsid w:val="00153087"/>
    <w:rsid w:val="00153CAE"/>
    <w:rsid w:val="001613DB"/>
    <w:rsid w:val="00180809"/>
    <w:rsid w:val="0019587F"/>
    <w:rsid w:val="001A7AE3"/>
    <w:rsid w:val="001B10D0"/>
    <w:rsid w:val="001D2044"/>
    <w:rsid w:val="001D297D"/>
    <w:rsid w:val="001D7382"/>
    <w:rsid w:val="001E0407"/>
    <w:rsid w:val="001E2073"/>
    <w:rsid w:val="001E2127"/>
    <w:rsid w:val="001F0E6C"/>
    <w:rsid w:val="001F7A77"/>
    <w:rsid w:val="0020598D"/>
    <w:rsid w:val="00216461"/>
    <w:rsid w:val="00223047"/>
    <w:rsid w:val="00233C03"/>
    <w:rsid w:val="00234DA9"/>
    <w:rsid w:val="00236797"/>
    <w:rsid w:val="00246EA3"/>
    <w:rsid w:val="002640CD"/>
    <w:rsid w:val="0026642D"/>
    <w:rsid w:val="002725AB"/>
    <w:rsid w:val="0028226B"/>
    <w:rsid w:val="002904B3"/>
    <w:rsid w:val="002944DD"/>
    <w:rsid w:val="002A2E55"/>
    <w:rsid w:val="002A7A04"/>
    <w:rsid w:val="002B161B"/>
    <w:rsid w:val="002B5663"/>
    <w:rsid w:val="002C6AFE"/>
    <w:rsid w:val="002D0921"/>
    <w:rsid w:val="002D2E17"/>
    <w:rsid w:val="002D5210"/>
    <w:rsid w:val="002E1A38"/>
    <w:rsid w:val="002E49D6"/>
    <w:rsid w:val="002F7403"/>
    <w:rsid w:val="00300A18"/>
    <w:rsid w:val="00302227"/>
    <w:rsid w:val="00305A68"/>
    <w:rsid w:val="00305FD5"/>
    <w:rsid w:val="00312A3A"/>
    <w:rsid w:val="00340641"/>
    <w:rsid w:val="003411B1"/>
    <w:rsid w:val="00341613"/>
    <w:rsid w:val="00357F3B"/>
    <w:rsid w:val="0036482A"/>
    <w:rsid w:val="00365044"/>
    <w:rsid w:val="00366B38"/>
    <w:rsid w:val="0037551A"/>
    <w:rsid w:val="00375B5A"/>
    <w:rsid w:val="0037784B"/>
    <w:rsid w:val="00382EE6"/>
    <w:rsid w:val="00383F46"/>
    <w:rsid w:val="00390A9D"/>
    <w:rsid w:val="003A1533"/>
    <w:rsid w:val="003B2680"/>
    <w:rsid w:val="003C6F46"/>
    <w:rsid w:val="003E0500"/>
    <w:rsid w:val="003E5C78"/>
    <w:rsid w:val="003F397F"/>
    <w:rsid w:val="00411306"/>
    <w:rsid w:val="00411752"/>
    <w:rsid w:val="00424857"/>
    <w:rsid w:val="004315F6"/>
    <w:rsid w:val="0044059E"/>
    <w:rsid w:val="00441B3E"/>
    <w:rsid w:val="0044453B"/>
    <w:rsid w:val="00455ECE"/>
    <w:rsid w:val="0046467E"/>
    <w:rsid w:val="0046588C"/>
    <w:rsid w:val="00484EB7"/>
    <w:rsid w:val="00485009"/>
    <w:rsid w:val="0048611A"/>
    <w:rsid w:val="004A3097"/>
    <w:rsid w:val="004B49D8"/>
    <w:rsid w:val="004B5763"/>
    <w:rsid w:val="004D0C95"/>
    <w:rsid w:val="004E0684"/>
    <w:rsid w:val="004E1253"/>
    <w:rsid w:val="004F0620"/>
    <w:rsid w:val="004F455F"/>
    <w:rsid w:val="00501ED0"/>
    <w:rsid w:val="005031B3"/>
    <w:rsid w:val="00513B7D"/>
    <w:rsid w:val="00516813"/>
    <w:rsid w:val="00526F3D"/>
    <w:rsid w:val="00543305"/>
    <w:rsid w:val="00555A4A"/>
    <w:rsid w:val="00562836"/>
    <w:rsid w:val="00570AE3"/>
    <w:rsid w:val="00570B92"/>
    <w:rsid w:val="00571892"/>
    <w:rsid w:val="00593226"/>
    <w:rsid w:val="005953EF"/>
    <w:rsid w:val="005965B9"/>
    <w:rsid w:val="005A5D4A"/>
    <w:rsid w:val="005A5F11"/>
    <w:rsid w:val="005A6B16"/>
    <w:rsid w:val="005C2461"/>
    <w:rsid w:val="005D081E"/>
    <w:rsid w:val="005D31CD"/>
    <w:rsid w:val="005D599F"/>
    <w:rsid w:val="005D5C48"/>
    <w:rsid w:val="005E2D2C"/>
    <w:rsid w:val="0060235B"/>
    <w:rsid w:val="0060362F"/>
    <w:rsid w:val="00610A24"/>
    <w:rsid w:val="00614913"/>
    <w:rsid w:val="00615984"/>
    <w:rsid w:val="00621047"/>
    <w:rsid w:val="00631EC9"/>
    <w:rsid w:val="006408FE"/>
    <w:rsid w:val="006502A8"/>
    <w:rsid w:val="00652801"/>
    <w:rsid w:val="00655A7F"/>
    <w:rsid w:val="0065722A"/>
    <w:rsid w:val="006628DD"/>
    <w:rsid w:val="006838D8"/>
    <w:rsid w:val="00693725"/>
    <w:rsid w:val="00693E60"/>
    <w:rsid w:val="00696A49"/>
    <w:rsid w:val="00697172"/>
    <w:rsid w:val="006A05B9"/>
    <w:rsid w:val="006A07E1"/>
    <w:rsid w:val="006A2185"/>
    <w:rsid w:val="006B180C"/>
    <w:rsid w:val="006B2C2C"/>
    <w:rsid w:val="006C1ABA"/>
    <w:rsid w:val="006C7C54"/>
    <w:rsid w:val="006D3736"/>
    <w:rsid w:val="006E43C3"/>
    <w:rsid w:val="006E4A58"/>
    <w:rsid w:val="006E5504"/>
    <w:rsid w:val="006E6FA6"/>
    <w:rsid w:val="006F08A4"/>
    <w:rsid w:val="006F760C"/>
    <w:rsid w:val="00720918"/>
    <w:rsid w:val="00724DFD"/>
    <w:rsid w:val="00727462"/>
    <w:rsid w:val="00731E3A"/>
    <w:rsid w:val="00742EC1"/>
    <w:rsid w:val="00750804"/>
    <w:rsid w:val="0075385B"/>
    <w:rsid w:val="00756203"/>
    <w:rsid w:val="00764E63"/>
    <w:rsid w:val="007817D6"/>
    <w:rsid w:val="0078541A"/>
    <w:rsid w:val="00787B9D"/>
    <w:rsid w:val="00790551"/>
    <w:rsid w:val="007A36EA"/>
    <w:rsid w:val="007A3C14"/>
    <w:rsid w:val="007A79D7"/>
    <w:rsid w:val="007B029F"/>
    <w:rsid w:val="007B0BF6"/>
    <w:rsid w:val="007F1A44"/>
    <w:rsid w:val="007F238E"/>
    <w:rsid w:val="007F6DB7"/>
    <w:rsid w:val="007F6F1B"/>
    <w:rsid w:val="008023C7"/>
    <w:rsid w:val="00805AD4"/>
    <w:rsid w:val="00807515"/>
    <w:rsid w:val="0081074E"/>
    <w:rsid w:val="00820905"/>
    <w:rsid w:val="00830546"/>
    <w:rsid w:val="00832696"/>
    <w:rsid w:val="008340D8"/>
    <w:rsid w:val="0085112B"/>
    <w:rsid w:val="008656FC"/>
    <w:rsid w:val="00865A37"/>
    <w:rsid w:val="00871F5D"/>
    <w:rsid w:val="00872774"/>
    <w:rsid w:val="00873678"/>
    <w:rsid w:val="0087614C"/>
    <w:rsid w:val="0088584A"/>
    <w:rsid w:val="0089148D"/>
    <w:rsid w:val="00895851"/>
    <w:rsid w:val="008A2A69"/>
    <w:rsid w:val="008A6CF1"/>
    <w:rsid w:val="008B2E1B"/>
    <w:rsid w:val="008C1E68"/>
    <w:rsid w:val="008C2D4F"/>
    <w:rsid w:val="008C3102"/>
    <w:rsid w:val="008E1F3C"/>
    <w:rsid w:val="008E4582"/>
    <w:rsid w:val="008F27D1"/>
    <w:rsid w:val="008F6C88"/>
    <w:rsid w:val="00905DA9"/>
    <w:rsid w:val="00906567"/>
    <w:rsid w:val="00906C7D"/>
    <w:rsid w:val="0091164A"/>
    <w:rsid w:val="00912A9B"/>
    <w:rsid w:val="00917A64"/>
    <w:rsid w:val="00917FD5"/>
    <w:rsid w:val="009251C2"/>
    <w:rsid w:val="00926BA3"/>
    <w:rsid w:val="00947AEE"/>
    <w:rsid w:val="00960F9A"/>
    <w:rsid w:val="00962250"/>
    <w:rsid w:val="00962557"/>
    <w:rsid w:val="009641A2"/>
    <w:rsid w:val="0097058B"/>
    <w:rsid w:val="00974634"/>
    <w:rsid w:val="009A38DF"/>
    <w:rsid w:val="009A67BB"/>
    <w:rsid w:val="009C5C4D"/>
    <w:rsid w:val="009D1FF3"/>
    <w:rsid w:val="009D26F5"/>
    <w:rsid w:val="009E4424"/>
    <w:rsid w:val="009E6FC1"/>
    <w:rsid w:val="009F2A73"/>
    <w:rsid w:val="009F3D00"/>
    <w:rsid w:val="00A05EE5"/>
    <w:rsid w:val="00A12565"/>
    <w:rsid w:val="00A1581B"/>
    <w:rsid w:val="00A21727"/>
    <w:rsid w:val="00A4747D"/>
    <w:rsid w:val="00A60D25"/>
    <w:rsid w:val="00A63BE8"/>
    <w:rsid w:val="00A63CCF"/>
    <w:rsid w:val="00A72FD6"/>
    <w:rsid w:val="00A9539B"/>
    <w:rsid w:val="00AA432F"/>
    <w:rsid w:val="00AA513B"/>
    <w:rsid w:val="00AA54AB"/>
    <w:rsid w:val="00AC2167"/>
    <w:rsid w:val="00AC5B71"/>
    <w:rsid w:val="00AC663B"/>
    <w:rsid w:val="00AC6895"/>
    <w:rsid w:val="00AC732C"/>
    <w:rsid w:val="00AD1996"/>
    <w:rsid w:val="00AE0CF2"/>
    <w:rsid w:val="00AE176B"/>
    <w:rsid w:val="00AE29F5"/>
    <w:rsid w:val="00AE3A38"/>
    <w:rsid w:val="00AF4C8B"/>
    <w:rsid w:val="00B04400"/>
    <w:rsid w:val="00B0531B"/>
    <w:rsid w:val="00B11012"/>
    <w:rsid w:val="00B15195"/>
    <w:rsid w:val="00B15513"/>
    <w:rsid w:val="00B167BC"/>
    <w:rsid w:val="00B24C97"/>
    <w:rsid w:val="00B25A6D"/>
    <w:rsid w:val="00B26C38"/>
    <w:rsid w:val="00B26F89"/>
    <w:rsid w:val="00B378FA"/>
    <w:rsid w:val="00B40ACF"/>
    <w:rsid w:val="00B57ACF"/>
    <w:rsid w:val="00BA44B5"/>
    <w:rsid w:val="00BA4B4F"/>
    <w:rsid w:val="00BA7E30"/>
    <w:rsid w:val="00BB677C"/>
    <w:rsid w:val="00BC7B16"/>
    <w:rsid w:val="00BD565D"/>
    <w:rsid w:val="00BD631F"/>
    <w:rsid w:val="00BE2638"/>
    <w:rsid w:val="00BF33AE"/>
    <w:rsid w:val="00C116A5"/>
    <w:rsid w:val="00C166B0"/>
    <w:rsid w:val="00C327D3"/>
    <w:rsid w:val="00C409F6"/>
    <w:rsid w:val="00C437F2"/>
    <w:rsid w:val="00C513BF"/>
    <w:rsid w:val="00C51506"/>
    <w:rsid w:val="00C515BE"/>
    <w:rsid w:val="00C52E05"/>
    <w:rsid w:val="00C556F9"/>
    <w:rsid w:val="00C566F3"/>
    <w:rsid w:val="00C6373D"/>
    <w:rsid w:val="00C64A47"/>
    <w:rsid w:val="00C64F9A"/>
    <w:rsid w:val="00C961D9"/>
    <w:rsid w:val="00CA03E7"/>
    <w:rsid w:val="00CA381E"/>
    <w:rsid w:val="00CB01C5"/>
    <w:rsid w:val="00CB4D82"/>
    <w:rsid w:val="00CB6EAC"/>
    <w:rsid w:val="00CB71B8"/>
    <w:rsid w:val="00CC1109"/>
    <w:rsid w:val="00CD2E69"/>
    <w:rsid w:val="00CD4B50"/>
    <w:rsid w:val="00CF3536"/>
    <w:rsid w:val="00CF462B"/>
    <w:rsid w:val="00D0681A"/>
    <w:rsid w:val="00D07BE0"/>
    <w:rsid w:val="00D173A3"/>
    <w:rsid w:val="00D32169"/>
    <w:rsid w:val="00D334F9"/>
    <w:rsid w:val="00D376B3"/>
    <w:rsid w:val="00D469AC"/>
    <w:rsid w:val="00D47C6B"/>
    <w:rsid w:val="00D47F1B"/>
    <w:rsid w:val="00D5622A"/>
    <w:rsid w:val="00D72BA0"/>
    <w:rsid w:val="00D761B7"/>
    <w:rsid w:val="00D86BB8"/>
    <w:rsid w:val="00D94234"/>
    <w:rsid w:val="00DA7CD9"/>
    <w:rsid w:val="00DC1F04"/>
    <w:rsid w:val="00DC2828"/>
    <w:rsid w:val="00DD2E69"/>
    <w:rsid w:val="00DF5E66"/>
    <w:rsid w:val="00DF5EFF"/>
    <w:rsid w:val="00E1051D"/>
    <w:rsid w:val="00E11CB6"/>
    <w:rsid w:val="00E33B78"/>
    <w:rsid w:val="00E33BE1"/>
    <w:rsid w:val="00E34A0C"/>
    <w:rsid w:val="00E47D78"/>
    <w:rsid w:val="00E54CC6"/>
    <w:rsid w:val="00E609C2"/>
    <w:rsid w:val="00E72DD3"/>
    <w:rsid w:val="00E75C1F"/>
    <w:rsid w:val="00E96231"/>
    <w:rsid w:val="00E968EF"/>
    <w:rsid w:val="00E97899"/>
    <w:rsid w:val="00EA2CF3"/>
    <w:rsid w:val="00EA578F"/>
    <w:rsid w:val="00EA70BA"/>
    <w:rsid w:val="00EB17FE"/>
    <w:rsid w:val="00EB1CF1"/>
    <w:rsid w:val="00EB41AD"/>
    <w:rsid w:val="00EB47C9"/>
    <w:rsid w:val="00EB75A3"/>
    <w:rsid w:val="00EC12ED"/>
    <w:rsid w:val="00ED5C2A"/>
    <w:rsid w:val="00EE0C8D"/>
    <w:rsid w:val="00EF00A3"/>
    <w:rsid w:val="00EF1BEB"/>
    <w:rsid w:val="00EF400A"/>
    <w:rsid w:val="00EF6772"/>
    <w:rsid w:val="00EF7CA9"/>
    <w:rsid w:val="00F05745"/>
    <w:rsid w:val="00F101A0"/>
    <w:rsid w:val="00F10777"/>
    <w:rsid w:val="00F23508"/>
    <w:rsid w:val="00F25EA8"/>
    <w:rsid w:val="00F452AC"/>
    <w:rsid w:val="00F52C59"/>
    <w:rsid w:val="00F6234F"/>
    <w:rsid w:val="00F74E2A"/>
    <w:rsid w:val="00F91E44"/>
    <w:rsid w:val="00FA3390"/>
    <w:rsid w:val="00FA36EE"/>
    <w:rsid w:val="00FB03D6"/>
    <w:rsid w:val="00FB03FC"/>
    <w:rsid w:val="00FC2DCB"/>
    <w:rsid w:val="00FC6849"/>
    <w:rsid w:val="00FF0501"/>
    <w:rsid w:val="00FF27E4"/>
    <w:rsid w:val="00FF332B"/>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21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semiHidden/>
    <w:unhideWhenUsed/>
    <w:rsid w:val="00917FD5"/>
    <w:rPr>
      <w:sz w:val="20"/>
      <w:szCs w:val="20"/>
    </w:rPr>
  </w:style>
  <w:style w:type="character" w:customStyle="1" w:styleId="CommentTextChar">
    <w:name w:val="Comment Text Char"/>
    <w:basedOn w:val="DefaultParagraphFont"/>
    <w:link w:val="CommentText"/>
    <w:uiPriority w:val="99"/>
    <w:semiHidden/>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character" w:customStyle="1" w:styleId="Heading3Char">
    <w:name w:val="Heading 3 Char"/>
    <w:basedOn w:val="DefaultParagraphFont"/>
    <w:link w:val="Heading3"/>
    <w:uiPriority w:val="9"/>
    <w:rsid w:val="006A21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22716024">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664011931">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778261991">
      <w:bodyDiv w:val="1"/>
      <w:marLeft w:val="0"/>
      <w:marRight w:val="0"/>
      <w:marTop w:val="0"/>
      <w:marBottom w:val="0"/>
      <w:divBdr>
        <w:top w:val="none" w:sz="0" w:space="0" w:color="auto"/>
        <w:left w:val="none" w:sz="0" w:space="0" w:color="auto"/>
        <w:bottom w:val="none" w:sz="0" w:space="0" w:color="auto"/>
        <w:right w:val="none" w:sz="0" w:space="0" w:color="auto"/>
      </w:divBdr>
    </w:div>
    <w:div w:id="802504265">
      <w:bodyDiv w:val="1"/>
      <w:marLeft w:val="0"/>
      <w:marRight w:val="0"/>
      <w:marTop w:val="0"/>
      <w:marBottom w:val="0"/>
      <w:divBdr>
        <w:top w:val="none" w:sz="0" w:space="0" w:color="auto"/>
        <w:left w:val="none" w:sz="0" w:space="0" w:color="auto"/>
        <w:bottom w:val="none" w:sz="0" w:space="0" w:color="auto"/>
        <w:right w:val="none" w:sz="0" w:space="0" w:color="auto"/>
      </w:divBdr>
    </w:div>
    <w:div w:id="982854894">
      <w:bodyDiv w:val="1"/>
      <w:marLeft w:val="0"/>
      <w:marRight w:val="0"/>
      <w:marTop w:val="0"/>
      <w:marBottom w:val="0"/>
      <w:divBdr>
        <w:top w:val="none" w:sz="0" w:space="0" w:color="auto"/>
        <w:left w:val="none" w:sz="0" w:space="0" w:color="auto"/>
        <w:bottom w:val="none" w:sz="0" w:space="0" w:color="auto"/>
        <w:right w:val="none" w:sz="0" w:space="0" w:color="auto"/>
      </w:divBdr>
    </w:div>
    <w:div w:id="1069810225">
      <w:bodyDiv w:val="1"/>
      <w:marLeft w:val="0"/>
      <w:marRight w:val="0"/>
      <w:marTop w:val="0"/>
      <w:marBottom w:val="0"/>
      <w:divBdr>
        <w:top w:val="none" w:sz="0" w:space="0" w:color="auto"/>
        <w:left w:val="none" w:sz="0" w:space="0" w:color="auto"/>
        <w:bottom w:val="none" w:sz="0" w:space="0" w:color="auto"/>
        <w:right w:val="none" w:sz="0" w:space="0" w:color="auto"/>
      </w:divBdr>
    </w:div>
    <w:div w:id="1105493686">
      <w:bodyDiv w:val="1"/>
      <w:marLeft w:val="0"/>
      <w:marRight w:val="0"/>
      <w:marTop w:val="0"/>
      <w:marBottom w:val="0"/>
      <w:divBdr>
        <w:top w:val="none" w:sz="0" w:space="0" w:color="auto"/>
        <w:left w:val="none" w:sz="0" w:space="0" w:color="auto"/>
        <w:bottom w:val="none" w:sz="0" w:space="0" w:color="auto"/>
        <w:right w:val="none" w:sz="0" w:space="0" w:color="auto"/>
      </w:divBdr>
    </w:div>
    <w:div w:id="1179275985">
      <w:bodyDiv w:val="1"/>
      <w:marLeft w:val="0"/>
      <w:marRight w:val="0"/>
      <w:marTop w:val="0"/>
      <w:marBottom w:val="0"/>
      <w:divBdr>
        <w:top w:val="none" w:sz="0" w:space="0" w:color="auto"/>
        <w:left w:val="none" w:sz="0" w:space="0" w:color="auto"/>
        <w:bottom w:val="none" w:sz="0" w:space="0" w:color="auto"/>
        <w:right w:val="none" w:sz="0" w:space="0" w:color="auto"/>
      </w:divBdr>
    </w:div>
    <w:div w:id="1302229559">
      <w:bodyDiv w:val="1"/>
      <w:marLeft w:val="0"/>
      <w:marRight w:val="0"/>
      <w:marTop w:val="0"/>
      <w:marBottom w:val="0"/>
      <w:divBdr>
        <w:top w:val="none" w:sz="0" w:space="0" w:color="auto"/>
        <w:left w:val="none" w:sz="0" w:space="0" w:color="auto"/>
        <w:bottom w:val="none" w:sz="0" w:space="0" w:color="auto"/>
        <w:right w:val="none" w:sz="0" w:space="0" w:color="auto"/>
      </w:divBdr>
      <w:divsChild>
        <w:div w:id="1315723392">
          <w:marLeft w:val="720"/>
          <w:marRight w:val="0"/>
          <w:marTop w:val="200"/>
          <w:marBottom w:val="0"/>
          <w:divBdr>
            <w:top w:val="none" w:sz="0" w:space="0" w:color="auto"/>
            <w:left w:val="none" w:sz="0" w:space="0" w:color="auto"/>
            <w:bottom w:val="none" w:sz="0" w:space="0" w:color="auto"/>
            <w:right w:val="none" w:sz="0" w:space="0" w:color="auto"/>
          </w:divBdr>
        </w:div>
      </w:divsChild>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485119436">
      <w:bodyDiv w:val="1"/>
      <w:marLeft w:val="0"/>
      <w:marRight w:val="0"/>
      <w:marTop w:val="0"/>
      <w:marBottom w:val="0"/>
      <w:divBdr>
        <w:top w:val="none" w:sz="0" w:space="0" w:color="auto"/>
        <w:left w:val="none" w:sz="0" w:space="0" w:color="auto"/>
        <w:bottom w:val="none" w:sz="0" w:space="0" w:color="auto"/>
        <w:right w:val="none" w:sz="0" w:space="0" w:color="auto"/>
      </w:divBdr>
    </w:div>
    <w:div w:id="1574974842">
      <w:bodyDiv w:val="1"/>
      <w:marLeft w:val="0"/>
      <w:marRight w:val="0"/>
      <w:marTop w:val="0"/>
      <w:marBottom w:val="0"/>
      <w:divBdr>
        <w:top w:val="none" w:sz="0" w:space="0" w:color="auto"/>
        <w:left w:val="none" w:sz="0" w:space="0" w:color="auto"/>
        <w:bottom w:val="none" w:sz="0" w:space="0" w:color="auto"/>
        <w:right w:val="none" w:sz="0" w:space="0" w:color="auto"/>
      </w:divBdr>
      <w:divsChild>
        <w:div w:id="183902260">
          <w:marLeft w:val="0"/>
          <w:marRight w:val="0"/>
          <w:marTop w:val="0"/>
          <w:marBottom w:val="0"/>
          <w:divBdr>
            <w:top w:val="none" w:sz="0" w:space="0" w:color="auto"/>
            <w:left w:val="none" w:sz="0" w:space="0" w:color="auto"/>
            <w:bottom w:val="none" w:sz="0" w:space="0" w:color="auto"/>
            <w:right w:val="none" w:sz="0" w:space="0" w:color="auto"/>
          </w:divBdr>
          <w:divsChild>
            <w:div w:id="120927049">
              <w:marLeft w:val="0"/>
              <w:marRight w:val="0"/>
              <w:marTop w:val="0"/>
              <w:marBottom w:val="0"/>
              <w:divBdr>
                <w:top w:val="none" w:sz="0" w:space="0" w:color="auto"/>
                <w:left w:val="none" w:sz="0" w:space="0" w:color="auto"/>
                <w:bottom w:val="none" w:sz="0" w:space="0" w:color="auto"/>
                <w:right w:val="none" w:sz="0" w:space="0" w:color="auto"/>
              </w:divBdr>
            </w:div>
          </w:divsChild>
        </w:div>
        <w:div w:id="1430614096">
          <w:marLeft w:val="0"/>
          <w:marRight w:val="0"/>
          <w:marTop w:val="0"/>
          <w:marBottom w:val="0"/>
          <w:divBdr>
            <w:top w:val="none" w:sz="0" w:space="0" w:color="auto"/>
            <w:left w:val="none" w:sz="0" w:space="0" w:color="auto"/>
            <w:bottom w:val="none" w:sz="0" w:space="0" w:color="auto"/>
            <w:right w:val="none" w:sz="0" w:space="0" w:color="auto"/>
          </w:divBdr>
          <w:divsChild>
            <w:div w:id="20646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499">
      <w:bodyDiv w:val="1"/>
      <w:marLeft w:val="0"/>
      <w:marRight w:val="0"/>
      <w:marTop w:val="0"/>
      <w:marBottom w:val="0"/>
      <w:divBdr>
        <w:top w:val="none" w:sz="0" w:space="0" w:color="auto"/>
        <w:left w:val="none" w:sz="0" w:space="0" w:color="auto"/>
        <w:bottom w:val="none" w:sz="0" w:space="0" w:color="auto"/>
        <w:right w:val="none" w:sz="0" w:space="0" w:color="auto"/>
      </w:divBdr>
    </w:div>
    <w:div w:id="187592243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471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10/watershed_restoration_and_enhancement_-_wria_7.aspx" TargetMode="External"/><Relationship Id="rId18" Type="http://schemas.openxmlformats.org/officeDocument/2006/relationships/hyperlink" Target="https://app.box.com/s/d7e3pqkir8uc60lv2amnp095l1b286ij"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box.com/s/6pt2buh95x7j897xovdu52pgwqvbtj7n" TargetMode="External"/><Relationship Id="rId2" Type="http://schemas.openxmlformats.org/officeDocument/2006/relationships/customXml" Target="../customXml/item2.xml"/><Relationship Id="rId16" Type="http://schemas.openxmlformats.org/officeDocument/2006/relationships/hyperlink" Target="https://app.box.com/s/rclb2llcrrywsbuap0n028k2a8sylr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box.com/s/xwqhb0cidz6varu57t08o1mm0e7mgqyu"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app.box.com/s/bq9xlpv5u894ry680caydw86991trdxv"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7</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2DEFDA70DA48B4B83C65AC00089DBA7" ma:contentTypeVersion="5" ma:contentTypeDescription="Create a new document." ma:contentTypeScope="" ma:versionID="21f1154bde16b1df1c3ab9152a496baf">
  <xsd:schema xmlns:xsd="http://www.w3.org/2001/XMLSchema" xmlns:xs="http://www.w3.org/2001/XMLSchema" xmlns:p="http://schemas.microsoft.com/office/2006/metadata/properties" xmlns:ns2="76249e9b-b6b9-40a9-b72a-b7e9ea3ba785" xmlns:ns3="682b21c4-ae0d-48cf-ab50-a405324789b5" xmlns:ns4="3b4dceba-683b-45c7-9b77-22ab90981aa0" targetNamespace="http://schemas.microsoft.com/office/2006/metadata/properties" ma:root="true" ma:fieldsID="cb07134bcc4aedf986e986bd9febc74c" ns2:_="" ns3:_="" ns4:_="">
    <xsd:import namespace="76249e9b-b6b9-40a9-b72a-b7e9ea3ba785"/>
    <xsd:import namespace="682b21c4-ae0d-48cf-ab50-a405324789b5"/>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_x2014_YYYYMMDD" minOccurs="0"/>
                <xsd:element ref="ns3:Meeting_x0020_Date_x0020__x0028_i_x002e_e_x002e__x0020_March_x0020_7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2b21c4-ae0d-48cf-ab50-a405324789b5" elementFormDefault="qualified">
    <xsd:import namespace="http://schemas.microsoft.com/office/2006/documentManagement/types"/>
    <xsd:import namespace="http://schemas.microsoft.com/office/infopath/2007/PartnerControls"/>
    <xsd:element name="Topic" ma:index="11" nillable="true" ma:displayName="Topic" ma:default="None" ma:format="Dropdown" ma:internalName="Topic">
      <xsd:simpleType>
        <xsd:union memberTypes="dms:Text">
          <xsd:simpleType>
            <xsd:restriction base="dms:Choice">
              <xsd:enumeration value="None"/>
              <xsd:enumeration value="Administrative"/>
              <xsd:enumeration value="NEB"/>
              <xsd:enumeration value="Consumptive Use"/>
              <xsd:enumeration value="Growth Projections"/>
              <xsd:enumeration value="Project Management"/>
              <xsd:enumeration value="Discussion Guide"/>
              <xsd:enumeration value="Template"/>
              <xsd:enumeration value="Guidance Document"/>
              <xsd:enumeration value="Meeting Materials"/>
              <xsd:enumeration value="Maps"/>
              <xsd:enumeration value="Technical Documents and Memos"/>
            </xsd:restriction>
          </xsd:simpleType>
        </xsd:union>
      </xsd:simpleType>
    </xsd:element>
    <xsd:element name="Meeting_x0020_Date_x2014_YYYYMMDD" ma:index="12" nillable="true" ma:displayName="Meeting Date (YYYYMMDD)" ma:internalName="Meeting_x0020_Date_x2014_YYYYMMDD">
      <xsd:simpleType>
        <xsd:restriction base="dms:Text">
          <xsd:maxLength value="255"/>
        </xsd:restriction>
      </xsd:simpleType>
    </xsd:element>
    <xsd:element name="Meeting_x0020_Date_x0020__x0028_i_x002e_e_x002e__x0020_March_x0020_7_x0029_" ma:index="13" nillable="true" ma:displayName="Meeting Date (i.e. March 7)" ma:internalName="Meeting_x0020_Date_x0020__x0028_i_x002e_e_x002e__x0020_March_x0020_7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metadata/properties"/>
    <ds:schemaRef ds:uri="http://purl.org/dc/terms/"/>
    <ds:schemaRef ds:uri="http://schemas.microsoft.com/office/2006/documentManagement/types"/>
    <ds:schemaRef ds:uri="682b21c4-ae0d-48cf-ab50-a405324789b5"/>
    <ds:schemaRef ds:uri="http://schemas.openxmlformats.org/package/2006/metadata/core-properties"/>
    <ds:schemaRef ds:uri="http://purl.org/dc/elements/1.1/"/>
    <ds:schemaRef ds:uri="http://schemas.microsoft.com/office/infopath/2007/PartnerControls"/>
    <ds:schemaRef ds:uri="http://www.w3.org/XML/1998/namespace"/>
    <ds:schemaRef ds:uri="3b4dceba-683b-45c7-9b77-22ab90981aa0"/>
    <ds:schemaRef ds:uri="76249e9b-b6b9-40a9-b72a-b7e9ea3ba785"/>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B1E2FE21-1136-4AD4-8C0C-E994E91A0791}"/>
</file>

<file path=customXml/itemProps4.xml><?xml version="1.0" encoding="utf-8"?>
<ds:datastoreItem xmlns:ds="http://schemas.openxmlformats.org/officeDocument/2006/customXml" ds:itemID="{13A92BF4-C9CF-43AA-815E-9BAA8286C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682b21c4-ae0d-48cf-ab50-a405324789b5"/>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F9298-B4CA-4F3B-85A0-6DD5C6B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Snohomish WREC Technical Workgroup 11/18/2019</vt:lpstr>
    </vt:vector>
  </TitlesOfParts>
  <Company>WA Department of Ecology</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Snohomish WREC Technical Workgroup 11/18/2019</dc:title>
  <dc:subject>March agenda</dc:subject>
  <dc:creator>ijon461@ECY.WA.GOV</dc:creator>
  <cp:keywords/>
  <dc:description/>
  <cp:lastModifiedBy>Jones, Ingria (ECY)</cp:lastModifiedBy>
  <cp:revision>2</cp:revision>
  <cp:lastPrinted>2019-05-20T19:53:00Z</cp:lastPrinted>
  <dcterms:created xsi:type="dcterms:W3CDTF">2019-11-24T22:21:00Z</dcterms:created>
  <dcterms:modified xsi:type="dcterms:W3CDTF">2019-11-24T22:21:00Z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ba058b34-e85d-4302-a68a-7b3ef4598ab8</vt:lpwstr>
  </property>
</Properties>
</file>