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97CC" w14:textId="2B583DA2" w:rsidR="00B2764D" w:rsidRDefault="00B2764D" w:rsidP="00B2764D">
      <w:pPr>
        <w:pStyle w:val="Titlestyle"/>
        <w:rPr>
          <w:sz w:val="36"/>
          <w:szCs w:val="28"/>
        </w:rPr>
      </w:pPr>
      <w:r>
        <w:rPr>
          <w:noProof/>
        </w:rPr>
        <w:drawing>
          <wp:anchor distT="0" distB="0" distL="114300" distR="114300" simplePos="0" relativeHeight="251659264" behindDoc="0" locked="0" layoutInCell="1" allowOverlap="1" wp14:anchorId="7C654BF7" wp14:editId="552044A8">
            <wp:simplePos x="0" y="0"/>
            <wp:positionH relativeFrom="column">
              <wp:posOffset>-38100</wp:posOffset>
            </wp:positionH>
            <wp:positionV relativeFrom="paragraph">
              <wp:posOffset>-28575</wp:posOffset>
            </wp:positionV>
            <wp:extent cx="1025525" cy="752475"/>
            <wp:effectExtent l="0" t="0" r="3175" b="9525"/>
            <wp:wrapNone/>
            <wp:docPr id="4" name="Picture 4" descr="Ecology logo. A state of Washington shape separated into three bands of color; light blue, green, and dark blue. a sun sits in the middle of the light blue band." title="Ecology logo"/>
            <wp:cNvGraphicFramePr/>
            <a:graphic xmlns:a="http://schemas.openxmlformats.org/drawingml/2006/main">
              <a:graphicData uri="http://schemas.openxmlformats.org/drawingml/2006/picture">
                <pic:pic xmlns:pic="http://schemas.openxmlformats.org/drawingml/2006/picture">
                  <pic:nvPicPr>
                    <pic:cNvPr id="1" name="Picture 1" descr="Ecology logo. A state of Washington shape separated into three bands of color; light blue, green, and dark blue. a sun sits in the middle of the light blue band." title="Ecology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1C36FC">
        <w:rPr>
          <w:sz w:val="36"/>
          <w:szCs w:val="28"/>
        </w:rPr>
        <w:t>Meeting Notes</w:t>
      </w:r>
    </w:p>
    <w:p w14:paraId="526711D3" w14:textId="77777777" w:rsidR="00B2764D" w:rsidRDefault="00B2764D" w:rsidP="00B2764D">
      <w:pPr>
        <w:pStyle w:val="Sub-titlestyle"/>
        <w:rPr>
          <w:b/>
          <w:color w:val="44688F"/>
        </w:rPr>
      </w:pPr>
      <w:r>
        <w:rPr>
          <w:b/>
          <w:color w:val="44688F"/>
        </w:rPr>
        <w:t>Snohomish (WRIA 7)</w:t>
      </w:r>
    </w:p>
    <w:p w14:paraId="5723A5A4" w14:textId="77777777" w:rsidR="00B2764D" w:rsidRDefault="00B2764D" w:rsidP="00B2764D">
      <w:pPr>
        <w:pStyle w:val="Sub-titlestyle"/>
        <w:rPr>
          <w:b/>
          <w:color w:val="44688F"/>
        </w:rPr>
      </w:pPr>
      <w:r>
        <w:rPr>
          <w:b/>
          <w:color w:val="44688F"/>
        </w:rPr>
        <w:t>WREC Technical Workgroup meeting</w:t>
      </w:r>
    </w:p>
    <w:p w14:paraId="0D966431" w14:textId="77777777" w:rsidR="00B2764D" w:rsidRPr="008C332C" w:rsidRDefault="00B2764D" w:rsidP="00B2764D">
      <w:pPr>
        <w:pStyle w:val="Sub-titlestyle"/>
        <w:rPr>
          <w:color w:val="44688F"/>
          <w:sz w:val="22"/>
        </w:rPr>
      </w:pPr>
      <w:r>
        <w:rPr>
          <w:color w:val="44688F"/>
        </w:rPr>
        <w:t xml:space="preserve">January 23, 2020 | 1:00 p.m. - 2:30 p.m. </w:t>
      </w:r>
      <w:hyperlink r:id="rId9" w:history="1">
        <w:r w:rsidRPr="008C332C">
          <w:rPr>
            <w:rStyle w:val="Hyperlink"/>
            <w:sz w:val="22"/>
          </w:rPr>
          <w:t>WRIA 7 Committee Webpage</w:t>
        </w:r>
      </w:hyperlink>
      <w:r w:rsidRPr="008C332C">
        <w:rPr>
          <w:color w:val="44688F"/>
          <w:sz w:val="22"/>
        </w:rPr>
        <w:t xml:space="preserve"> </w:t>
      </w:r>
    </w:p>
    <w:p w14:paraId="5D8E5695" w14:textId="77777777" w:rsidR="00B2764D" w:rsidRDefault="00B2764D" w:rsidP="00B2764D">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60288" behindDoc="1" locked="0" layoutInCell="1" allowOverlap="1" wp14:anchorId="51F6B9AC" wp14:editId="013DD0C2">
                <wp:simplePos x="0" y="0"/>
                <wp:positionH relativeFrom="page">
                  <wp:align>left</wp:align>
                </wp:positionH>
                <wp:positionV relativeFrom="paragraph">
                  <wp:posOffset>146050</wp:posOffset>
                </wp:positionV>
                <wp:extent cx="7753350" cy="1242060"/>
                <wp:effectExtent l="0" t="0" r="0" b="0"/>
                <wp:wrapNone/>
                <wp:docPr id="3" name="Rectangle 3" descr="decorative" title="Blue band"/>
                <wp:cNvGraphicFramePr/>
                <a:graphic xmlns:a="http://schemas.openxmlformats.org/drawingml/2006/main">
                  <a:graphicData uri="http://schemas.microsoft.com/office/word/2010/wordprocessingShape">
                    <wps:wsp>
                      <wps:cNvSpPr/>
                      <wps:spPr>
                        <a:xfrm>
                          <a:off x="0" y="0"/>
                          <a:ext cx="7753350" cy="124206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EA853" id="Rectangle 3" o:spid="_x0000_s1026" alt="Title: Blue band - Description: decorative" style="position:absolute;margin-left:0;margin-top:11.5pt;width:610.5pt;height:97.8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" fillcolor="#44688f" stroked="f" strokeweight="1pt">
                <w10:wrap anchorx="page"/>
              </v:rect>
            </w:pict>
          </mc:Fallback>
        </mc:AlternateContent>
      </w:r>
    </w:p>
    <w:p w14:paraId="389C8778" w14:textId="77777777" w:rsidR="00B2764D" w:rsidRDefault="00B2764D" w:rsidP="00B2764D">
      <w:pPr>
        <w:rPr>
          <w:rFonts w:asciiTheme="majorHAnsi" w:eastAsiaTheme="majorEastAsia" w:hAnsiTheme="majorHAnsi" w:cstheme="majorBidi"/>
          <w:color w:val="FFFFFF" w:themeColor="background1"/>
          <w:sz w:val="26"/>
          <w:szCs w:val="26"/>
        </w:rPr>
        <w:sectPr w:rsidR="00B2764D" w:rsidSect="00B2764D">
          <w:pgSz w:w="12240" w:h="15840"/>
          <w:pgMar w:top="720" w:right="1440" w:bottom="720" w:left="1440" w:header="0" w:footer="720" w:gutter="0"/>
          <w:cols w:space="720"/>
        </w:sectPr>
      </w:pPr>
    </w:p>
    <w:p w14:paraId="6805CB4D" w14:textId="77777777" w:rsidR="00B2764D" w:rsidRDefault="00B2764D" w:rsidP="00B2764D">
      <w:pPr>
        <w:pStyle w:val="Heading2"/>
        <w:spacing w:before="0"/>
        <w:rPr>
          <w:b/>
          <w:color w:val="FFFFFF" w:themeColor="background1"/>
          <w:u w:val="single"/>
        </w:rPr>
      </w:pPr>
      <w:r>
        <w:rPr>
          <w:b/>
          <w:color w:val="FFFFFF" w:themeColor="background1"/>
          <w:u w:val="single"/>
        </w:rPr>
        <w:t>Location</w:t>
      </w:r>
    </w:p>
    <w:p w14:paraId="41553877" w14:textId="77777777" w:rsidR="00B2764D" w:rsidRDefault="00B2764D" w:rsidP="00B2764D">
      <w:pPr>
        <w:rPr>
          <w:rFonts w:ascii="Franklin Gothic Book" w:hAnsi="Franklin Gothic Book"/>
          <w:color w:val="FFFFFF" w:themeColor="background1"/>
        </w:rPr>
      </w:pPr>
      <w:r>
        <w:rPr>
          <w:rFonts w:ascii="Franklin Gothic Book" w:hAnsi="Franklin Gothic Book"/>
          <w:color w:val="FFFFFF" w:themeColor="background1"/>
        </w:rPr>
        <w:t>Everett Public Library</w:t>
      </w:r>
    </w:p>
    <w:p w14:paraId="7D6411DB" w14:textId="77777777" w:rsidR="00B2764D" w:rsidRPr="007A79D7" w:rsidRDefault="00B2764D" w:rsidP="00B2764D">
      <w:pPr>
        <w:rPr>
          <w:rFonts w:ascii="Franklin Gothic Book" w:hAnsi="Franklin Gothic Book"/>
          <w:color w:val="FFFFFF" w:themeColor="background1"/>
        </w:rPr>
      </w:pPr>
      <w:r w:rsidRPr="00E3224A">
        <w:rPr>
          <w:rFonts w:ascii="Franklin Gothic Book" w:hAnsi="Franklin Gothic Book"/>
          <w:color w:val="FFFFFF" w:themeColor="background1"/>
        </w:rPr>
        <w:t>2702 Hoyt Ave</w:t>
      </w:r>
      <w:r w:rsidRPr="00E3224A">
        <w:rPr>
          <w:rFonts w:ascii="Franklin Gothic Book" w:hAnsi="Franklin Gothic Book"/>
          <w:color w:val="FFFFFF" w:themeColor="background1"/>
        </w:rPr>
        <w:br/>
      </w:r>
      <w:r>
        <w:rPr>
          <w:rFonts w:ascii="Franklin Gothic Book" w:hAnsi="Franklin Gothic Book"/>
          <w:color w:val="FFFFFF" w:themeColor="background1"/>
        </w:rPr>
        <w:t>Everett</w:t>
      </w:r>
    </w:p>
    <w:p w14:paraId="030DFC98" w14:textId="77777777" w:rsidR="00B2764D" w:rsidRDefault="00B2764D" w:rsidP="00B2764D">
      <w:pPr>
        <w:rPr>
          <w:rFonts w:ascii="Franklin Gothic Book" w:hAnsi="Franklin Gothic Book"/>
          <w:color w:val="FFFFFF" w:themeColor="background1"/>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Committee Chair</w:t>
      </w:r>
    </w:p>
    <w:p w14:paraId="4A9FF469" w14:textId="77777777" w:rsidR="00B2764D" w:rsidRDefault="00B2764D" w:rsidP="00B2764D">
      <w:pPr>
        <w:rPr>
          <w:rFonts w:ascii="Franklin Gothic Book" w:hAnsi="Franklin Gothic Book"/>
          <w:color w:val="FFFFFF" w:themeColor="background1"/>
        </w:rPr>
      </w:pPr>
      <w:r>
        <w:rPr>
          <w:rFonts w:ascii="Franklin Gothic Book" w:hAnsi="Franklin Gothic Book"/>
          <w:color w:val="FFFFFF" w:themeColor="background1"/>
        </w:rPr>
        <w:t>Ingria Jones</w:t>
      </w:r>
    </w:p>
    <w:p w14:paraId="75704BE4" w14:textId="77777777" w:rsidR="00B2764D" w:rsidRDefault="00B2764D" w:rsidP="00B2764D">
      <w:pPr>
        <w:rPr>
          <w:rFonts w:ascii="Franklin Gothic Book" w:hAnsi="Franklin Gothic Book"/>
          <w:color w:val="FFFFFF" w:themeColor="background1"/>
        </w:rPr>
      </w:pPr>
      <w:r>
        <w:rPr>
          <w:rFonts w:ascii="Franklin Gothic Book" w:hAnsi="Franklin Gothic Book"/>
          <w:color w:val="FFFFFF" w:themeColor="background1"/>
        </w:rPr>
        <w:t>Ingria.Jones@ecy.wa.gov</w:t>
      </w:r>
    </w:p>
    <w:p w14:paraId="701C624F" w14:textId="77777777" w:rsidR="00B2764D" w:rsidRDefault="00B2764D" w:rsidP="00B2764D">
      <w:pPr>
        <w:rPr>
          <w:rFonts w:ascii="Franklin Gothic Book" w:hAnsi="Franklin Gothic Book"/>
          <w:color w:val="FFFFFF" w:themeColor="background1"/>
        </w:rPr>
      </w:pPr>
      <w:r>
        <w:rPr>
          <w:rFonts w:ascii="Franklin Gothic Book" w:hAnsi="Franklin Gothic Book"/>
          <w:color w:val="FFFFFF" w:themeColor="background1"/>
        </w:rPr>
        <w:t>(425) 649-4210</w:t>
      </w:r>
    </w:p>
    <w:p w14:paraId="0BF473E7" w14:textId="77777777" w:rsidR="00B2764D" w:rsidRDefault="00B2764D" w:rsidP="00B2764D">
      <w:pPr>
        <w:ind w:right="-450"/>
        <w:rPr>
          <w:b/>
          <w:color w:val="FFFFFF" w:themeColor="background1"/>
          <w:u w:val="single"/>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Handouts</w:t>
      </w:r>
    </w:p>
    <w:p w14:paraId="3C0F1A7E" w14:textId="77777777" w:rsidR="00B2764D" w:rsidRPr="00EE0C8D" w:rsidRDefault="00B2764D" w:rsidP="00B2764D">
      <w:pPr>
        <w:ind w:left="180" w:right="-450" w:hanging="180"/>
        <w:rPr>
          <w:rFonts w:ascii="Franklin Gothic Book" w:hAnsi="Franklin Gothic Book"/>
          <w:color w:val="FFFFFF" w:themeColor="background1"/>
          <w:sz w:val="21"/>
          <w:szCs w:val="21"/>
        </w:rPr>
      </w:pPr>
      <w:r w:rsidRPr="00EE0C8D">
        <w:rPr>
          <w:rFonts w:ascii="Franklin Gothic Book" w:hAnsi="Franklin Gothic Book"/>
          <w:color w:val="FFFFFF" w:themeColor="background1"/>
          <w:sz w:val="21"/>
          <w:szCs w:val="21"/>
        </w:rPr>
        <w:t>Agenda</w:t>
      </w:r>
    </w:p>
    <w:p w14:paraId="2A7828BE" w14:textId="77777777" w:rsidR="00B2764D" w:rsidRDefault="00B2764D" w:rsidP="00B2764D">
      <w:pPr>
        <w:ind w:left="180" w:right="-450" w:hanging="18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Irrigated Area Compatibility Study Memo </w:t>
      </w:r>
    </w:p>
    <w:p w14:paraId="5EBFDA1D" w14:textId="77777777" w:rsidR="00B2764D" w:rsidRPr="00557A7C" w:rsidRDefault="00B2764D" w:rsidP="00B2764D">
      <w:pPr>
        <w:rPr>
          <w:rFonts w:ascii="Franklin Gothic Book" w:hAnsi="Franklin Gothic Book"/>
          <w:color w:val="FFFFFF" w:themeColor="background1"/>
          <w:sz w:val="20"/>
        </w:rPr>
      </w:pPr>
      <w:r w:rsidRPr="00557A7C">
        <w:rPr>
          <w:rFonts w:ascii="Franklin Gothic Book" w:hAnsi="Franklin Gothic Book"/>
          <w:color w:val="FFFFFF" w:themeColor="background1"/>
          <w:sz w:val="20"/>
        </w:rPr>
        <w:t xml:space="preserve">Technical Progress to-Date </w:t>
      </w:r>
    </w:p>
    <w:p w14:paraId="011F6341" w14:textId="77777777" w:rsidR="00B2764D" w:rsidRDefault="00B2764D" w:rsidP="00B2764D">
      <w:pPr>
        <w:rPr>
          <w:rFonts w:ascii="Franklin Gothic Book" w:hAnsi="Franklin Gothic Book"/>
          <w:color w:val="FFFFFF" w:themeColor="background1"/>
        </w:rPr>
        <w:sectPr w:rsidR="00B2764D">
          <w:type w:val="continuous"/>
          <w:pgSz w:w="12240" w:h="15840"/>
          <w:pgMar w:top="1080" w:right="1440" w:bottom="720" w:left="1440" w:header="720" w:footer="720" w:gutter="0"/>
          <w:cols w:num="3" w:space="90"/>
        </w:sectPr>
      </w:pPr>
    </w:p>
    <w:p w14:paraId="2C2F6A7D" w14:textId="77777777" w:rsidR="00B2764D" w:rsidRDefault="00B2764D" w:rsidP="00B2764D">
      <w:pPr>
        <w:pStyle w:val="Heading1"/>
        <w:spacing w:before="0"/>
      </w:pPr>
    </w:p>
    <w:p w14:paraId="321507E4" w14:textId="77777777" w:rsidR="00B2764D" w:rsidRDefault="00B2764D" w:rsidP="00B2764D">
      <w:pPr>
        <w:pStyle w:val="Heading1"/>
        <w:spacing w:before="0"/>
      </w:pPr>
    </w:p>
    <w:p w14:paraId="1BF29390" w14:textId="0D45158F" w:rsidR="00B2764D" w:rsidRDefault="00FA4A65" w:rsidP="002C11FE">
      <w:pPr>
        <w:pStyle w:val="Heading1"/>
        <w:spacing w:before="0"/>
      </w:pPr>
      <w:r>
        <w:t>Participation</w:t>
      </w:r>
    </w:p>
    <w:p w14:paraId="1AF6AA7F" w14:textId="7ACE2326" w:rsidR="001C36FC" w:rsidRPr="000978B7" w:rsidRDefault="001C36FC" w:rsidP="000978B7">
      <w:pPr>
        <w:rPr>
          <w:rFonts w:ascii="Calibri" w:hAnsi="Calibri" w:cs="Calibri"/>
          <w:i/>
          <w:sz w:val="22"/>
        </w:rPr>
      </w:pPr>
      <w:r w:rsidRPr="000978B7">
        <w:rPr>
          <w:rFonts w:ascii="Calibri" w:hAnsi="Calibri" w:cs="Calibri"/>
          <w:i/>
          <w:sz w:val="22"/>
        </w:rPr>
        <w:t>Ingria Jones</w:t>
      </w:r>
      <w:r w:rsidR="002C11FE" w:rsidRPr="000978B7">
        <w:rPr>
          <w:rFonts w:ascii="Calibri" w:hAnsi="Calibri" w:cs="Calibri"/>
          <w:i/>
          <w:sz w:val="22"/>
        </w:rPr>
        <w:t>, Dept. of Ecology</w:t>
      </w:r>
    </w:p>
    <w:p w14:paraId="4A31A0F2" w14:textId="164EC651" w:rsidR="001C36FC" w:rsidRPr="000978B7" w:rsidRDefault="001C36FC" w:rsidP="000978B7">
      <w:pPr>
        <w:rPr>
          <w:rFonts w:ascii="Calibri" w:hAnsi="Calibri" w:cs="Calibri"/>
          <w:i/>
          <w:sz w:val="22"/>
        </w:rPr>
      </w:pPr>
      <w:r w:rsidRPr="000978B7">
        <w:rPr>
          <w:rFonts w:ascii="Calibri" w:hAnsi="Calibri" w:cs="Calibri"/>
          <w:i/>
          <w:sz w:val="22"/>
        </w:rPr>
        <w:t>Cynthia Carlstad</w:t>
      </w:r>
      <w:r w:rsidR="002C11FE" w:rsidRPr="000978B7">
        <w:rPr>
          <w:rFonts w:ascii="Calibri" w:hAnsi="Calibri" w:cs="Calibri"/>
          <w:i/>
          <w:sz w:val="22"/>
        </w:rPr>
        <w:t>, NHC</w:t>
      </w:r>
    </w:p>
    <w:p w14:paraId="02477005" w14:textId="7586F6D8" w:rsidR="001C36FC" w:rsidRPr="000978B7" w:rsidRDefault="001C36FC" w:rsidP="000978B7">
      <w:pPr>
        <w:rPr>
          <w:rFonts w:ascii="Calibri" w:hAnsi="Calibri" w:cs="Calibri"/>
          <w:i/>
          <w:sz w:val="22"/>
        </w:rPr>
      </w:pPr>
      <w:r w:rsidRPr="000978B7">
        <w:rPr>
          <w:rFonts w:ascii="Calibri" w:hAnsi="Calibri" w:cs="Calibri"/>
          <w:i/>
          <w:sz w:val="22"/>
        </w:rPr>
        <w:t>Mike Wolanek</w:t>
      </w:r>
      <w:r w:rsidR="002C11FE" w:rsidRPr="000978B7">
        <w:rPr>
          <w:rFonts w:ascii="Calibri" w:hAnsi="Calibri" w:cs="Calibri"/>
          <w:i/>
          <w:sz w:val="22"/>
        </w:rPr>
        <w:t>, Arlington</w:t>
      </w:r>
      <w:r w:rsidRPr="000978B7">
        <w:rPr>
          <w:rFonts w:ascii="Calibri" w:hAnsi="Calibri" w:cs="Calibri"/>
          <w:i/>
          <w:sz w:val="22"/>
        </w:rPr>
        <w:t xml:space="preserve"> (phone)</w:t>
      </w:r>
    </w:p>
    <w:p w14:paraId="09A12159" w14:textId="350D49B9" w:rsidR="001C36FC" w:rsidRPr="000978B7" w:rsidRDefault="001C36FC" w:rsidP="000978B7">
      <w:pPr>
        <w:rPr>
          <w:rFonts w:ascii="Calibri" w:hAnsi="Calibri" w:cs="Calibri"/>
          <w:i/>
          <w:sz w:val="22"/>
        </w:rPr>
      </w:pPr>
      <w:r w:rsidRPr="000978B7">
        <w:rPr>
          <w:rFonts w:ascii="Calibri" w:hAnsi="Calibri" w:cs="Calibri"/>
          <w:i/>
          <w:sz w:val="22"/>
        </w:rPr>
        <w:t>Denise DiSanto</w:t>
      </w:r>
      <w:r w:rsidR="002C11FE" w:rsidRPr="000978B7">
        <w:rPr>
          <w:rFonts w:ascii="Calibri" w:hAnsi="Calibri" w:cs="Calibri"/>
          <w:i/>
          <w:sz w:val="22"/>
        </w:rPr>
        <w:t>, King County</w:t>
      </w:r>
      <w:r w:rsidRPr="000978B7">
        <w:rPr>
          <w:rFonts w:ascii="Calibri" w:hAnsi="Calibri" w:cs="Calibri"/>
          <w:i/>
          <w:sz w:val="22"/>
        </w:rPr>
        <w:t xml:space="preserve"> (phone) </w:t>
      </w:r>
    </w:p>
    <w:p w14:paraId="15090578" w14:textId="1B67FBF2" w:rsidR="001C36FC" w:rsidRPr="000978B7" w:rsidRDefault="001C36FC" w:rsidP="000978B7">
      <w:pPr>
        <w:rPr>
          <w:rFonts w:ascii="Calibri" w:hAnsi="Calibri" w:cs="Calibri"/>
          <w:i/>
          <w:sz w:val="22"/>
        </w:rPr>
      </w:pPr>
      <w:r w:rsidRPr="000978B7">
        <w:rPr>
          <w:rFonts w:ascii="Calibri" w:hAnsi="Calibri" w:cs="Calibri"/>
          <w:i/>
          <w:sz w:val="22"/>
        </w:rPr>
        <w:t>Daryl Williams</w:t>
      </w:r>
      <w:r w:rsidR="002C11FE" w:rsidRPr="000978B7">
        <w:rPr>
          <w:rFonts w:ascii="Calibri" w:hAnsi="Calibri" w:cs="Calibri"/>
          <w:i/>
          <w:sz w:val="22"/>
        </w:rPr>
        <w:t>, Tulalip Tribes</w:t>
      </w:r>
    </w:p>
    <w:p w14:paraId="2EC0B5F6" w14:textId="547498C1" w:rsidR="001C36FC" w:rsidRPr="000978B7" w:rsidRDefault="001C36FC" w:rsidP="000978B7">
      <w:pPr>
        <w:rPr>
          <w:rFonts w:ascii="Calibri" w:hAnsi="Calibri" w:cs="Calibri"/>
          <w:i/>
          <w:sz w:val="22"/>
        </w:rPr>
      </w:pPr>
      <w:r w:rsidRPr="000978B7">
        <w:rPr>
          <w:rFonts w:ascii="Calibri" w:hAnsi="Calibri" w:cs="Calibri"/>
          <w:i/>
          <w:sz w:val="22"/>
        </w:rPr>
        <w:t>Liz Ablow</w:t>
      </w:r>
      <w:r w:rsidR="002C11FE" w:rsidRPr="000978B7">
        <w:rPr>
          <w:rFonts w:ascii="Calibri" w:hAnsi="Calibri" w:cs="Calibri"/>
          <w:i/>
          <w:sz w:val="22"/>
        </w:rPr>
        <w:t>, Seattle</w:t>
      </w:r>
    </w:p>
    <w:p w14:paraId="6A31D3FC" w14:textId="5D9965E5" w:rsidR="001C36FC" w:rsidRPr="000978B7" w:rsidRDefault="001C36FC" w:rsidP="000978B7">
      <w:pPr>
        <w:rPr>
          <w:rFonts w:ascii="Calibri" w:hAnsi="Calibri" w:cs="Calibri"/>
          <w:i/>
          <w:sz w:val="22"/>
        </w:rPr>
      </w:pPr>
      <w:r w:rsidRPr="000978B7">
        <w:rPr>
          <w:rFonts w:ascii="Calibri" w:hAnsi="Calibri" w:cs="Calibri"/>
          <w:i/>
          <w:sz w:val="22"/>
        </w:rPr>
        <w:t>Matt Baerwalde</w:t>
      </w:r>
      <w:r w:rsidR="002C11FE" w:rsidRPr="000978B7">
        <w:rPr>
          <w:rFonts w:ascii="Calibri" w:hAnsi="Calibri" w:cs="Calibri"/>
          <w:i/>
          <w:sz w:val="22"/>
        </w:rPr>
        <w:t>, Snoqualmie Tribe</w:t>
      </w:r>
    </w:p>
    <w:p w14:paraId="155E36C6" w14:textId="44EB40F0" w:rsidR="00EC774A" w:rsidRPr="000978B7" w:rsidRDefault="00EC774A" w:rsidP="000978B7">
      <w:pPr>
        <w:rPr>
          <w:rFonts w:ascii="Calibri" w:hAnsi="Calibri" w:cs="Calibri"/>
          <w:i/>
          <w:sz w:val="22"/>
        </w:rPr>
      </w:pPr>
      <w:r w:rsidRPr="000978B7">
        <w:rPr>
          <w:rFonts w:ascii="Calibri" w:hAnsi="Calibri" w:cs="Calibri"/>
          <w:i/>
          <w:sz w:val="22"/>
        </w:rPr>
        <w:t>Emily Dick</w:t>
      </w:r>
      <w:r w:rsidR="002C11FE" w:rsidRPr="000978B7">
        <w:rPr>
          <w:rFonts w:ascii="Calibri" w:hAnsi="Calibri" w:cs="Calibri"/>
          <w:i/>
          <w:sz w:val="22"/>
        </w:rPr>
        <w:t>, Washington Water Trust</w:t>
      </w:r>
    </w:p>
    <w:p w14:paraId="102700D8" w14:textId="0D14CC97" w:rsidR="002C11FE" w:rsidRPr="000978B7" w:rsidRDefault="002C11FE" w:rsidP="000978B7">
      <w:pPr>
        <w:rPr>
          <w:rFonts w:ascii="Calibri" w:hAnsi="Calibri" w:cs="Calibri"/>
          <w:i/>
          <w:sz w:val="22"/>
        </w:rPr>
      </w:pPr>
      <w:r w:rsidRPr="000978B7">
        <w:rPr>
          <w:rFonts w:ascii="Calibri" w:hAnsi="Calibri" w:cs="Calibri"/>
          <w:i/>
          <w:sz w:val="22"/>
        </w:rPr>
        <w:t>Jason Hatch, Washington Water Trust</w:t>
      </w:r>
    </w:p>
    <w:p w14:paraId="5D34543F" w14:textId="3EE4D522" w:rsidR="00EC774A" w:rsidRPr="000978B7" w:rsidRDefault="00EC774A" w:rsidP="000978B7">
      <w:pPr>
        <w:rPr>
          <w:rFonts w:ascii="Calibri" w:hAnsi="Calibri" w:cs="Calibri"/>
          <w:i/>
          <w:sz w:val="22"/>
        </w:rPr>
      </w:pPr>
      <w:r w:rsidRPr="000978B7">
        <w:rPr>
          <w:rFonts w:ascii="Calibri" w:hAnsi="Calibri" w:cs="Calibri"/>
          <w:i/>
          <w:sz w:val="22"/>
        </w:rPr>
        <w:t>Eric Ferguson</w:t>
      </w:r>
      <w:r w:rsidR="002C11FE" w:rsidRPr="000978B7">
        <w:rPr>
          <w:rFonts w:ascii="Calibri" w:hAnsi="Calibri" w:cs="Calibri"/>
          <w:i/>
          <w:sz w:val="22"/>
        </w:rPr>
        <w:t>, King County</w:t>
      </w:r>
    </w:p>
    <w:p w14:paraId="61BE1B21" w14:textId="7D7D12B3" w:rsidR="001C36FC" w:rsidRPr="000978B7" w:rsidRDefault="001C36FC" w:rsidP="000978B7">
      <w:pPr>
        <w:rPr>
          <w:rFonts w:ascii="Calibri" w:hAnsi="Calibri" w:cs="Calibri"/>
          <w:i/>
          <w:sz w:val="22"/>
        </w:rPr>
      </w:pPr>
      <w:r w:rsidRPr="000978B7">
        <w:rPr>
          <w:rFonts w:ascii="Calibri" w:hAnsi="Calibri" w:cs="Calibri"/>
          <w:i/>
          <w:sz w:val="22"/>
        </w:rPr>
        <w:t>Kirk Lakey</w:t>
      </w:r>
      <w:r w:rsidR="002C11FE" w:rsidRPr="000978B7">
        <w:rPr>
          <w:rFonts w:ascii="Calibri" w:hAnsi="Calibri" w:cs="Calibri"/>
          <w:i/>
          <w:sz w:val="22"/>
        </w:rPr>
        <w:t>, Dept. of Fish and Wildlife</w:t>
      </w:r>
    </w:p>
    <w:p w14:paraId="224C2848" w14:textId="357D0155" w:rsidR="001C36FC" w:rsidRPr="000978B7" w:rsidRDefault="001C36FC" w:rsidP="000978B7">
      <w:pPr>
        <w:rPr>
          <w:rFonts w:ascii="Calibri" w:hAnsi="Calibri" w:cs="Calibri"/>
          <w:i/>
          <w:sz w:val="22"/>
        </w:rPr>
      </w:pPr>
      <w:r w:rsidRPr="000978B7">
        <w:rPr>
          <w:rFonts w:ascii="Calibri" w:hAnsi="Calibri" w:cs="Calibri"/>
          <w:i/>
          <w:sz w:val="22"/>
        </w:rPr>
        <w:t>Terri Strandberg</w:t>
      </w:r>
      <w:r w:rsidR="002C11FE" w:rsidRPr="000978B7">
        <w:rPr>
          <w:rFonts w:ascii="Calibri" w:hAnsi="Calibri" w:cs="Calibri"/>
          <w:i/>
          <w:sz w:val="22"/>
        </w:rPr>
        <w:t>, Snohomish County</w:t>
      </w:r>
    </w:p>
    <w:p w14:paraId="0A72AB5D" w14:textId="3C00C8B3" w:rsidR="001C36FC" w:rsidRPr="000978B7" w:rsidRDefault="001C36FC" w:rsidP="000978B7">
      <w:pPr>
        <w:rPr>
          <w:rFonts w:ascii="Calibri" w:hAnsi="Calibri" w:cs="Calibri"/>
          <w:i/>
          <w:sz w:val="22"/>
        </w:rPr>
      </w:pPr>
      <w:r w:rsidRPr="000978B7">
        <w:rPr>
          <w:rFonts w:ascii="Calibri" w:hAnsi="Calibri" w:cs="Calibri"/>
          <w:i/>
          <w:sz w:val="22"/>
        </w:rPr>
        <w:t>Brant Wood</w:t>
      </w:r>
      <w:r w:rsidR="002C11FE" w:rsidRPr="000978B7">
        <w:rPr>
          <w:rFonts w:ascii="Calibri" w:hAnsi="Calibri" w:cs="Calibri"/>
          <w:i/>
          <w:sz w:val="22"/>
        </w:rPr>
        <w:t>, Snohomish PUD</w:t>
      </w:r>
    </w:p>
    <w:p w14:paraId="730B7C88" w14:textId="7F6B53E6" w:rsidR="001C36FC" w:rsidRPr="000978B7" w:rsidRDefault="001C36FC" w:rsidP="000978B7">
      <w:pPr>
        <w:rPr>
          <w:rFonts w:ascii="Calibri" w:hAnsi="Calibri" w:cs="Calibri"/>
          <w:i/>
          <w:sz w:val="22"/>
        </w:rPr>
      </w:pPr>
      <w:r w:rsidRPr="000978B7">
        <w:rPr>
          <w:rFonts w:ascii="Calibri" w:hAnsi="Calibri" w:cs="Calibri"/>
          <w:i/>
          <w:sz w:val="22"/>
        </w:rPr>
        <w:t>John Covert</w:t>
      </w:r>
      <w:r w:rsidR="002C11FE" w:rsidRPr="000978B7">
        <w:rPr>
          <w:rFonts w:ascii="Calibri" w:hAnsi="Calibri" w:cs="Calibri"/>
          <w:i/>
          <w:sz w:val="22"/>
        </w:rPr>
        <w:t>, Dept. of Ecology</w:t>
      </w:r>
    </w:p>
    <w:p w14:paraId="5F38A03B" w14:textId="31A51F32" w:rsidR="001C36FC" w:rsidRPr="000978B7" w:rsidRDefault="001C36FC" w:rsidP="000978B7">
      <w:pPr>
        <w:rPr>
          <w:rFonts w:ascii="Calibri" w:hAnsi="Calibri" w:cs="Calibri"/>
          <w:i/>
          <w:sz w:val="22"/>
        </w:rPr>
      </w:pPr>
      <w:r w:rsidRPr="000978B7">
        <w:rPr>
          <w:rFonts w:ascii="Calibri" w:hAnsi="Calibri" w:cs="Calibri"/>
          <w:i/>
          <w:sz w:val="22"/>
        </w:rPr>
        <w:t>Paulina Levy</w:t>
      </w:r>
      <w:r w:rsidR="002C11FE" w:rsidRPr="000978B7">
        <w:rPr>
          <w:rFonts w:ascii="Calibri" w:hAnsi="Calibri" w:cs="Calibri"/>
          <w:i/>
          <w:sz w:val="22"/>
        </w:rPr>
        <w:t>, Dept. of Ecology</w:t>
      </w:r>
    </w:p>
    <w:p w14:paraId="1D2DE70A" w14:textId="73209B1B" w:rsidR="00B2764D" w:rsidRPr="000978B7" w:rsidRDefault="00B2764D" w:rsidP="000978B7">
      <w:pPr>
        <w:rPr>
          <w:rFonts w:ascii="Calibri" w:hAnsi="Calibri" w:cs="Calibri"/>
          <w:i/>
          <w:sz w:val="22"/>
        </w:rPr>
      </w:pPr>
      <w:r w:rsidRPr="000978B7">
        <w:rPr>
          <w:rFonts w:ascii="Calibri" w:hAnsi="Calibri" w:cs="Calibri"/>
          <w:i/>
          <w:sz w:val="22"/>
        </w:rPr>
        <w:t>Julie Lewis</w:t>
      </w:r>
      <w:r w:rsidR="002C11FE" w:rsidRPr="000978B7">
        <w:rPr>
          <w:rFonts w:ascii="Calibri" w:hAnsi="Calibri" w:cs="Calibri"/>
          <w:i/>
          <w:sz w:val="22"/>
        </w:rPr>
        <w:t>, Snoqualmie Tribe</w:t>
      </w:r>
    </w:p>
    <w:p w14:paraId="08F9E740" w14:textId="77777777" w:rsidR="00B2764D" w:rsidRDefault="00B2764D" w:rsidP="00B2764D">
      <w:pPr>
        <w:pStyle w:val="Heading1"/>
        <w:spacing w:before="0"/>
      </w:pPr>
    </w:p>
    <w:p w14:paraId="6BDC89EF" w14:textId="7E519694" w:rsidR="00B2764D" w:rsidRDefault="001C36FC" w:rsidP="00B2764D">
      <w:pPr>
        <w:pStyle w:val="Heading1"/>
        <w:spacing w:before="0"/>
        <w:rPr>
          <w:b w:val="0"/>
          <w:bCs/>
          <w:color w:val="1F497D"/>
        </w:rPr>
      </w:pPr>
      <w:r>
        <w:t>Updates</w:t>
      </w:r>
    </w:p>
    <w:p w14:paraId="705CC92E" w14:textId="06C717E5" w:rsidR="00B2764D" w:rsidRPr="00EC774A" w:rsidRDefault="002C11FE" w:rsidP="001C36FC">
      <w:pPr>
        <w:pStyle w:val="ListParagraph"/>
        <w:numPr>
          <w:ilvl w:val="0"/>
          <w:numId w:val="1"/>
        </w:numPr>
      </w:pPr>
      <w:r>
        <w:t>Matt</w:t>
      </w:r>
      <w:r w:rsidR="001C36FC" w:rsidRPr="00EC774A">
        <w:t xml:space="preserve"> provided </w:t>
      </w:r>
      <w:r>
        <w:t xml:space="preserve">an </w:t>
      </w:r>
      <w:r w:rsidR="001C36FC" w:rsidRPr="00EC774A">
        <w:t>u</w:t>
      </w:r>
      <w:r w:rsidR="00B2764D" w:rsidRPr="00EC774A">
        <w:t xml:space="preserve">pdate </w:t>
      </w:r>
      <w:r w:rsidR="000C069A">
        <w:t xml:space="preserve">on </w:t>
      </w:r>
      <w:r>
        <w:t>conducting</w:t>
      </w:r>
      <w:r w:rsidR="00B2764D" w:rsidRPr="00EC774A">
        <w:t xml:space="preserve"> outreach to water purveyors and cities</w:t>
      </w:r>
    </w:p>
    <w:p w14:paraId="3D4D65BC" w14:textId="276F94DD" w:rsidR="001C36FC" w:rsidRPr="00EC774A" w:rsidRDefault="001C36FC" w:rsidP="001C36FC">
      <w:pPr>
        <w:pStyle w:val="ListParagraph"/>
        <w:numPr>
          <w:ilvl w:val="1"/>
          <w:numId w:val="1"/>
        </w:numPr>
      </w:pPr>
      <w:r w:rsidRPr="00EC774A">
        <w:t xml:space="preserve">Matt and Mike have been reaching out to purveyors to </w:t>
      </w:r>
      <w:r w:rsidR="002C11FE">
        <w:t xml:space="preserve">better </w:t>
      </w:r>
      <w:r w:rsidRPr="00EC774A">
        <w:t>unde</w:t>
      </w:r>
      <w:r w:rsidR="002C11FE">
        <w:t xml:space="preserve">rstand their connection policies and policies surrounding permit-exempt wells. </w:t>
      </w:r>
    </w:p>
    <w:p w14:paraId="496AE26A" w14:textId="69E94732" w:rsidR="00EC774A" w:rsidRPr="00EC774A" w:rsidRDefault="001C36FC" w:rsidP="00EC774A">
      <w:pPr>
        <w:pStyle w:val="ListParagraph"/>
        <w:numPr>
          <w:ilvl w:val="1"/>
          <w:numId w:val="1"/>
        </w:numPr>
      </w:pPr>
      <w:r w:rsidRPr="00EC774A">
        <w:t xml:space="preserve">Matt has heard back from most </w:t>
      </w:r>
      <w:r w:rsidR="000C069A">
        <w:t>purveyors</w:t>
      </w:r>
      <w:r w:rsidRPr="00EC774A">
        <w:t>. There is</w:t>
      </w:r>
      <w:r w:rsidR="002C11FE">
        <w:t xml:space="preserve"> a wide range of existing policies</w:t>
      </w:r>
      <w:r w:rsidRPr="00EC774A">
        <w:t xml:space="preserve"> on </w:t>
      </w:r>
      <w:r w:rsidR="002C11FE">
        <w:t>water service connections</w:t>
      </w:r>
      <w:r w:rsidRPr="00EC774A">
        <w:t xml:space="preserve"> and decommissioning. There </w:t>
      </w:r>
      <w:r w:rsidR="002C11FE">
        <w:t xml:space="preserve">is no noticeable commonality. </w:t>
      </w:r>
    </w:p>
    <w:p w14:paraId="22108F79" w14:textId="752F639D" w:rsidR="00B2764D" w:rsidRPr="00EC774A" w:rsidRDefault="00EC774A" w:rsidP="00EC774A">
      <w:pPr>
        <w:pStyle w:val="ListParagraph"/>
        <w:numPr>
          <w:ilvl w:val="1"/>
          <w:numId w:val="1"/>
        </w:numPr>
        <w:rPr>
          <w:sz w:val="24"/>
        </w:rPr>
      </w:pPr>
      <w:r w:rsidRPr="00EC774A">
        <w:t>A</w:t>
      </w:r>
      <w:r w:rsidR="00B2764D" w:rsidRPr="00EC774A">
        <w:t xml:space="preserve"> more detailed update </w:t>
      </w:r>
      <w:r w:rsidRPr="00EC774A">
        <w:t xml:space="preserve">will be presented </w:t>
      </w:r>
      <w:r w:rsidR="00B2764D" w:rsidRPr="00EC774A">
        <w:t xml:space="preserve">to </w:t>
      </w:r>
      <w:r w:rsidRPr="00EC774A">
        <w:t xml:space="preserve">the </w:t>
      </w:r>
      <w:r w:rsidR="00B2764D" w:rsidRPr="00EC774A">
        <w:t xml:space="preserve">committee </w:t>
      </w:r>
      <w:r w:rsidRPr="00EC774A">
        <w:t xml:space="preserve">in March, and </w:t>
      </w:r>
      <w:r w:rsidR="002C11FE">
        <w:t xml:space="preserve">the committee </w:t>
      </w:r>
      <w:r w:rsidRPr="00EC774A">
        <w:t>will</w:t>
      </w:r>
      <w:r w:rsidR="002C11FE">
        <w:t xml:space="preserve"> discuss how the </w:t>
      </w:r>
      <w:r w:rsidR="00B2764D" w:rsidRPr="00EC774A">
        <w:t xml:space="preserve">responses could be used </w:t>
      </w:r>
      <w:r w:rsidR="002C11FE">
        <w:t xml:space="preserve">to </w:t>
      </w:r>
      <w:r w:rsidR="00B2764D" w:rsidRPr="00EC774A">
        <w:t>develop</w:t>
      </w:r>
      <w:r w:rsidR="002C11FE">
        <w:t xml:space="preserve"> policy recommendations. </w:t>
      </w:r>
    </w:p>
    <w:p w14:paraId="625FB425" w14:textId="77777777" w:rsidR="00B2764D" w:rsidRDefault="00B2764D" w:rsidP="00B2764D">
      <w:pPr>
        <w:pStyle w:val="Heading1"/>
      </w:pPr>
      <w:r>
        <w:t xml:space="preserve">Irrigated Area Compatibility Study </w:t>
      </w:r>
    </w:p>
    <w:p w14:paraId="602AFA07" w14:textId="6F3A3276" w:rsidR="00B2764D" w:rsidRDefault="00B2764D" w:rsidP="00B2764D">
      <w:pPr>
        <w:pStyle w:val="ListParagraph"/>
        <w:numPr>
          <w:ilvl w:val="0"/>
          <w:numId w:val="2"/>
        </w:numPr>
      </w:pPr>
      <w:r>
        <w:t>Objective: Understand purpose and results of irrigated area compatibility study and develop recommendation for committee on consumptive use estimate</w:t>
      </w:r>
    </w:p>
    <w:p w14:paraId="26AECA76" w14:textId="1A99D26F" w:rsidR="003B2BC0" w:rsidRDefault="003B2BC0" w:rsidP="003B2BC0">
      <w:pPr>
        <w:pStyle w:val="ListParagraph"/>
        <w:ind w:left="360"/>
      </w:pPr>
    </w:p>
    <w:p w14:paraId="1A2A9D54" w14:textId="19D18DEA" w:rsidR="003B2BC0" w:rsidRDefault="003B2BC0" w:rsidP="003B2BC0">
      <w:r>
        <w:t xml:space="preserve">Resources: </w:t>
      </w:r>
    </w:p>
    <w:p w14:paraId="7B97BD41" w14:textId="5154BE6B" w:rsidR="003B2BC0" w:rsidRDefault="00342C0E" w:rsidP="003B2BC0">
      <w:pPr>
        <w:pStyle w:val="ListParagraph"/>
        <w:numPr>
          <w:ilvl w:val="0"/>
          <w:numId w:val="2"/>
        </w:numPr>
      </w:pPr>
      <w:hyperlink r:id="rId10" w:history="1">
        <w:r w:rsidR="003B2BC0" w:rsidRPr="003B2BC0">
          <w:rPr>
            <w:rStyle w:val="Hyperlink"/>
          </w:rPr>
          <w:t>Irrigated Area Compatibility Study Memo</w:t>
        </w:r>
      </w:hyperlink>
    </w:p>
    <w:p w14:paraId="6BE0ED39" w14:textId="4309F180" w:rsidR="00B768CE" w:rsidRDefault="00342C0E" w:rsidP="00B768CE">
      <w:pPr>
        <w:pStyle w:val="ListParagraph"/>
        <w:numPr>
          <w:ilvl w:val="0"/>
          <w:numId w:val="2"/>
        </w:numPr>
      </w:pPr>
      <w:hyperlink r:id="rId11" w:history="1">
        <w:r w:rsidR="00F22D09" w:rsidRPr="00F22D09">
          <w:rPr>
            <w:rStyle w:val="Hyperlink"/>
          </w:rPr>
          <w:t>Technical Progress To-Date</w:t>
        </w:r>
      </w:hyperlink>
    </w:p>
    <w:p w14:paraId="75607C88" w14:textId="77777777" w:rsidR="003B2BC0" w:rsidRDefault="003B2BC0" w:rsidP="003B2BC0">
      <w:pPr>
        <w:pStyle w:val="ListParagraph"/>
        <w:ind w:left="360"/>
      </w:pPr>
    </w:p>
    <w:p w14:paraId="6BC6D59A" w14:textId="264D7A05" w:rsidR="00B2764D" w:rsidRDefault="00B2764D" w:rsidP="00B2764D">
      <w:pPr>
        <w:pStyle w:val="ListParagraph"/>
        <w:numPr>
          <w:ilvl w:val="0"/>
          <w:numId w:val="2"/>
        </w:numPr>
      </w:pPr>
      <w:r>
        <w:t>Review and discuss Irrigated Area Compatibility Study results</w:t>
      </w:r>
    </w:p>
    <w:p w14:paraId="5EBA0E5C" w14:textId="297100D8" w:rsidR="00EE05B7" w:rsidRPr="00EC774A" w:rsidRDefault="00AB61C0" w:rsidP="00CF58AB">
      <w:pPr>
        <w:pStyle w:val="ListParagraph"/>
        <w:numPr>
          <w:ilvl w:val="1"/>
          <w:numId w:val="2"/>
        </w:numPr>
        <w:contextualSpacing w:val="0"/>
      </w:pPr>
      <w:r w:rsidRPr="00EC774A">
        <w:lastRenderedPageBreak/>
        <w:t>Cynthia provide</w:t>
      </w:r>
      <w:r w:rsidR="00EC774A" w:rsidRPr="00EC774A">
        <w:t>d</w:t>
      </w:r>
      <w:r w:rsidRPr="00EC774A">
        <w:t xml:space="preserve"> an overview of the irrigated area compatibility study that GeoEngineers</w:t>
      </w:r>
      <w:r w:rsidR="00EC774A">
        <w:t xml:space="preserve"> (GEI)</w:t>
      </w:r>
      <w:r w:rsidRPr="00EC774A">
        <w:t xml:space="preserve"> &amp; HDR completed</w:t>
      </w:r>
      <w:r w:rsidR="00EC774A" w:rsidRPr="00EC774A">
        <w:t xml:space="preserve"> for ongoing quality assurance. Based on perceived differences in draft results for outdoor irrigation area analysis</w:t>
      </w:r>
      <w:r w:rsidRPr="00EC774A">
        <w:t xml:space="preserve">. </w:t>
      </w:r>
      <w:r w:rsidR="00CF58AB">
        <w:t>The goal of the study was to d</w:t>
      </w:r>
      <w:r w:rsidR="00EE05B7" w:rsidRPr="00EC774A">
        <w:t>etermine if there was a differenc</w:t>
      </w:r>
      <w:r w:rsidR="00EC774A">
        <w:t>e in results between HDR and GEI</w:t>
      </w:r>
      <w:r w:rsidR="00CF58AB">
        <w:t>, i</w:t>
      </w:r>
      <w:r w:rsidR="00EE05B7" w:rsidRPr="00EC774A">
        <w:t>dentify reasons for those differences</w:t>
      </w:r>
      <w:r w:rsidR="00CF58AB">
        <w:t>, and to d</w:t>
      </w:r>
      <w:r w:rsidR="00EE05B7" w:rsidRPr="00EC774A">
        <w:t>etermine the implications, if any, for the work of the WRE Committees</w:t>
      </w:r>
      <w:r w:rsidR="003B2BC0">
        <w:t xml:space="preserve">. </w:t>
      </w:r>
    </w:p>
    <w:p w14:paraId="3A0E8431" w14:textId="0E51D3B1" w:rsidR="003B2BC0" w:rsidRPr="003B2BC0" w:rsidRDefault="000A5419" w:rsidP="003B2BC0">
      <w:pPr>
        <w:pStyle w:val="ListParagraph"/>
        <w:numPr>
          <w:ilvl w:val="1"/>
          <w:numId w:val="2"/>
        </w:numPr>
      </w:pPr>
      <w:r w:rsidRPr="000A5419">
        <w:t>The technical</w:t>
      </w:r>
      <w:r w:rsidR="00EE05B7" w:rsidRPr="000A5419">
        <w:t xml:space="preserve"> analysis and comparability results </w:t>
      </w:r>
      <w:r w:rsidRPr="000A5419">
        <w:t xml:space="preserve">do not suggest the </w:t>
      </w:r>
      <w:r w:rsidR="00EE05B7" w:rsidRPr="000A5419">
        <w:t xml:space="preserve">need for a systematic reevaluation of the primary data sets or methodologies. The GEI and HDR teams have confidence in their completed work and, notably, in each other’s work for their respective WRIAs. </w:t>
      </w:r>
      <w:r w:rsidR="003B2BC0">
        <w:t xml:space="preserve">GEI and HDR recommend committees </w:t>
      </w:r>
      <w:r w:rsidR="003B2BC0" w:rsidRPr="003B2BC0">
        <w:t>that</w:t>
      </w:r>
      <w:r w:rsidR="003B2BC0">
        <w:t xml:space="preserve"> Ecology and</w:t>
      </w:r>
      <w:r w:rsidR="003B2BC0" w:rsidRPr="003B2BC0">
        <w:t xml:space="preserve"> the WRE committees should accept the irrigated area results completed by the GEI and HDR teams. </w:t>
      </w:r>
    </w:p>
    <w:p w14:paraId="440DC4B0" w14:textId="7B3D565D" w:rsidR="00EE05B7" w:rsidRPr="00B768CE" w:rsidRDefault="00EE05B7" w:rsidP="000D29D6">
      <w:pPr>
        <w:pStyle w:val="NoSpacing"/>
        <w:numPr>
          <w:ilvl w:val="1"/>
          <w:numId w:val="2"/>
        </w:numPr>
        <w:rPr>
          <w:rFonts w:ascii="Calibri" w:hAnsi="Calibri" w:cs="Calibri"/>
        </w:rPr>
      </w:pPr>
      <w:r w:rsidRPr="000A5419">
        <w:t xml:space="preserve">In WRIA 7, </w:t>
      </w:r>
      <w:r w:rsidR="000A5419" w:rsidRPr="000A5419">
        <w:t xml:space="preserve">393 parcels were </w:t>
      </w:r>
      <w:r w:rsidRPr="000A5419">
        <w:t>analyzed</w:t>
      </w:r>
      <w:r w:rsidR="000A5419" w:rsidRPr="000A5419">
        <w:t xml:space="preserve">. </w:t>
      </w:r>
      <w:r w:rsidR="00F22D09">
        <w:t>GEI s</w:t>
      </w:r>
      <w:r w:rsidR="000A5419" w:rsidRPr="000A5419">
        <w:t>et a m</w:t>
      </w:r>
      <w:r w:rsidRPr="000A5419">
        <w:t xml:space="preserve">inimum sample </w:t>
      </w:r>
      <w:r w:rsidR="00B768CE">
        <w:t>size of 20 parcels per subbasin</w:t>
      </w:r>
      <w:r w:rsidRPr="000A5419">
        <w:t xml:space="preserve">. More parcels than the target minimum sample were analyzed in each of the </w:t>
      </w:r>
      <w:r w:rsidRPr="00B768CE">
        <w:rPr>
          <w:rFonts w:ascii="Calibri" w:hAnsi="Calibri" w:cs="Calibri"/>
        </w:rPr>
        <w:t>subbasins.</w:t>
      </w:r>
      <w:r w:rsidR="00F22D09" w:rsidRPr="00B768CE">
        <w:rPr>
          <w:rFonts w:ascii="Calibri" w:hAnsi="Calibri" w:cs="Calibri"/>
        </w:rPr>
        <w:t xml:space="preserve"> </w:t>
      </w:r>
      <w:r w:rsidR="00922E21" w:rsidRPr="00B768CE">
        <w:rPr>
          <w:rFonts w:ascii="Calibri" w:hAnsi="Calibri" w:cs="Calibri"/>
          <w:shd w:val="clear" w:color="auto" w:fill="FFFFFF"/>
        </w:rPr>
        <w:t>The target sample size is sufficient to ensure that the sample mean i</w:t>
      </w:r>
      <w:r w:rsidR="00B768CE" w:rsidRPr="00B768CE">
        <w:rPr>
          <w:rFonts w:ascii="Calibri" w:hAnsi="Calibri" w:cs="Calibri"/>
          <w:shd w:val="clear" w:color="auto" w:fill="FFFFFF"/>
        </w:rPr>
        <w:t>s</w:t>
      </w:r>
      <w:r w:rsidR="00B768CE">
        <w:rPr>
          <w:rFonts w:ascii="Calibri" w:hAnsi="Calibri" w:cs="Calibri"/>
          <w:shd w:val="clear" w:color="auto" w:fill="FFFFFF"/>
        </w:rPr>
        <w:t xml:space="preserve"> representative over</w:t>
      </w:r>
      <w:r w:rsidR="00922E21" w:rsidRPr="00B768CE">
        <w:rPr>
          <w:rFonts w:ascii="Calibri" w:hAnsi="Calibri" w:cs="Calibri"/>
          <w:shd w:val="clear" w:color="auto" w:fill="FFFFFF"/>
        </w:rPr>
        <w:t xml:space="preserve"> the WRIA within a 95% confidence limit. </w:t>
      </w:r>
    </w:p>
    <w:p w14:paraId="605FC187" w14:textId="77777777" w:rsidR="00922E21" w:rsidRPr="00B768CE" w:rsidRDefault="00922E21" w:rsidP="00B768CE">
      <w:pPr>
        <w:pStyle w:val="NoSpacing"/>
        <w:ind w:left="1080"/>
        <w:rPr>
          <w:rFonts w:ascii="Calibri" w:hAnsi="Calibri" w:cs="Calibri"/>
        </w:rPr>
      </w:pPr>
    </w:p>
    <w:p w14:paraId="3EEE7014" w14:textId="515F85F1" w:rsidR="00EE05B7" w:rsidRDefault="000A5419" w:rsidP="004C434F">
      <w:pPr>
        <w:pStyle w:val="Heading2"/>
      </w:pPr>
      <w:r>
        <w:t>Questions</w:t>
      </w:r>
      <w:r w:rsidR="004C434F">
        <w:t xml:space="preserve"> and Discussion</w:t>
      </w:r>
      <w:r>
        <w:t xml:space="preserve"> </w:t>
      </w:r>
    </w:p>
    <w:p w14:paraId="07FA14AA" w14:textId="3583482D" w:rsidR="000A5419" w:rsidRPr="00CC3C69" w:rsidRDefault="000A5419" w:rsidP="00CC3C69">
      <w:pPr>
        <w:pStyle w:val="Default"/>
        <w:numPr>
          <w:ilvl w:val="1"/>
          <w:numId w:val="2"/>
        </w:numPr>
        <w:rPr>
          <w:sz w:val="22"/>
          <w:szCs w:val="22"/>
        </w:rPr>
      </w:pPr>
      <w:r w:rsidRPr="00CC3C69">
        <w:rPr>
          <w:sz w:val="22"/>
          <w:szCs w:val="22"/>
        </w:rPr>
        <w:t>Darryl asked for more details on a specific property</w:t>
      </w:r>
      <w:r w:rsidR="00AB6C4F" w:rsidRPr="00CC3C69">
        <w:rPr>
          <w:sz w:val="22"/>
          <w:szCs w:val="22"/>
        </w:rPr>
        <w:t xml:space="preserve"> in the compa</w:t>
      </w:r>
      <w:r w:rsidR="00726068">
        <w:rPr>
          <w:sz w:val="22"/>
          <w:szCs w:val="22"/>
        </w:rPr>
        <w:t>r</w:t>
      </w:r>
      <w:r w:rsidR="00AB6C4F" w:rsidRPr="00CC3C69">
        <w:rPr>
          <w:sz w:val="22"/>
          <w:szCs w:val="22"/>
        </w:rPr>
        <w:t>ibility study</w:t>
      </w:r>
      <w:r w:rsidRPr="00CC3C69">
        <w:rPr>
          <w:sz w:val="22"/>
          <w:szCs w:val="22"/>
        </w:rPr>
        <w:t xml:space="preserve"> that had</w:t>
      </w:r>
      <w:r w:rsidR="00AB6C4F" w:rsidRPr="00CC3C69">
        <w:rPr>
          <w:sz w:val="22"/>
          <w:szCs w:val="22"/>
        </w:rPr>
        <w:t xml:space="preserve"> a difference in results of ~0.48</w:t>
      </w:r>
      <w:r w:rsidRPr="00CC3C69">
        <w:rPr>
          <w:sz w:val="22"/>
          <w:szCs w:val="22"/>
        </w:rPr>
        <w:t xml:space="preserve"> acres. That property </w:t>
      </w:r>
      <w:r w:rsidR="00FA4A65" w:rsidRPr="00CC3C69">
        <w:rPr>
          <w:sz w:val="22"/>
          <w:szCs w:val="22"/>
        </w:rPr>
        <w:t xml:space="preserve">had initially included acreage for lawn beyond </w:t>
      </w:r>
      <w:r w:rsidR="008C332C" w:rsidRPr="00CC3C69">
        <w:rPr>
          <w:sz w:val="22"/>
          <w:szCs w:val="22"/>
        </w:rPr>
        <w:t>fence line</w:t>
      </w:r>
      <w:r w:rsidR="00CC3C69" w:rsidRPr="00CC3C69">
        <w:rPr>
          <w:sz w:val="22"/>
          <w:szCs w:val="22"/>
        </w:rPr>
        <w:t xml:space="preserve">, but in the second delineation GeoEngineers removed the western portion of property beyond </w:t>
      </w:r>
      <w:r w:rsidR="008C332C" w:rsidRPr="00CC3C69">
        <w:rPr>
          <w:sz w:val="22"/>
          <w:szCs w:val="22"/>
        </w:rPr>
        <w:t>fence line</w:t>
      </w:r>
      <w:r w:rsidR="00CC3C69" w:rsidRPr="00CC3C69">
        <w:rPr>
          <w:sz w:val="22"/>
          <w:szCs w:val="22"/>
        </w:rPr>
        <w:t xml:space="preserve"> from the delineation.  </w:t>
      </w:r>
    </w:p>
    <w:p w14:paraId="07B2A6BC" w14:textId="15E03CC9" w:rsidR="00FA4A65" w:rsidRPr="00FA4A65" w:rsidRDefault="00FA4A65" w:rsidP="000A5419">
      <w:pPr>
        <w:pStyle w:val="NoSpacing"/>
        <w:numPr>
          <w:ilvl w:val="1"/>
          <w:numId w:val="2"/>
        </w:numPr>
        <w:rPr>
          <w:b/>
          <w:i/>
          <w:color w:val="0070C0"/>
        </w:rPr>
      </w:pPr>
      <w:r>
        <w:t xml:space="preserve">Brant asked if annual gallons per day use per purveyor was used in the calculator across WRIAs. </w:t>
      </w:r>
      <w:r w:rsidR="00CC3C69">
        <w:t xml:space="preserve">NHC developed a scenario in the consumptive use calculator to estimate consumptive use based on water use data from Snohomish PUD. This WRIA-wide scenario estimates 261.6 acre-feet, which is much lower than the </w:t>
      </w:r>
      <w:r w:rsidR="004244C1">
        <w:t>irrigated area method estimate of 797.4 acre-feet</w:t>
      </w:r>
      <w:r w:rsidR="00CC3C69">
        <w:t xml:space="preserve">. GeoEngineers also coordinated with HDR to develop a table comparing water use for seven water purveyors that is posted on </w:t>
      </w:r>
      <w:hyperlink r:id="rId12" w:history="1">
        <w:r w:rsidR="00B768CE" w:rsidRPr="00B768CE">
          <w:rPr>
            <w:rStyle w:val="Hyperlink"/>
          </w:rPr>
          <w:t>box</w:t>
        </w:r>
      </w:hyperlink>
      <w:r w:rsidR="00CC3C69">
        <w:t>.</w:t>
      </w:r>
      <w:r w:rsidR="00B768CE">
        <w:t xml:space="preserve"> Additional water purveyor information is included</w:t>
      </w:r>
      <w:r w:rsidR="000978B7">
        <w:t xml:space="preserve"> in the </w:t>
      </w:r>
      <w:hyperlink r:id="rId13" w:history="1">
        <w:r w:rsidR="003A6DC0" w:rsidRPr="003A6DC0">
          <w:rPr>
            <w:rStyle w:val="Hyperlink"/>
          </w:rPr>
          <w:t xml:space="preserve">draft </w:t>
        </w:r>
        <w:r w:rsidR="000978B7" w:rsidRPr="003A6DC0">
          <w:rPr>
            <w:rStyle w:val="Hyperlink"/>
          </w:rPr>
          <w:t>consumptive use technical memo</w:t>
        </w:r>
      </w:hyperlink>
      <w:r w:rsidR="000978B7">
        <w:t xml:space="preserve">. </w:t>
      </w:r>
    </w:p>
    <w:p w14:paraId="0DD15D46" w14:textId="6BD21AFC" w:rsidR="00FA4A65" w:rsidRPr="00FA4A65" w:rsidRDefault="00FA4A65" w:rsidP="000A5419">
      <w:pPr>
        <w:pStyle w:val="NoSpacing"/>
        <w:numPr>
          <w:ilvl w:val="1"/>
          <w:numId w:val="2"/>
        </w:numPr>
        <w:rPr>
          <w:b/>
          <w:i/>
          <w:color w:val="0070C0"/>
        </w:rPr>
      </w:pPr>
      <w:r>
        <w:t xml:space="preserve">Jason asked for a clarification on the months </w:t>
      </w:r>
      <w:r w:rsidR="004244C1">
        <w:t xml:space="preserve">technical consultants </w:t>
      </w:r>
      <w:r>
        <w:t>used</w:t>
      </w:r>
      <w:r w:rsidR="004244C1">
        <w:t xml:space="preserve"> when reviewing past </w:t>
      </w:r>
      <w:r w:rsidR="007F446D">
        <w:t>Google Earth</w:t>
      </w:r>
      <w:r w:rsidR="004244C1">
        <w:t xml:space="preserve"> imagery to determine whether there was irrigation. </w:t>
      </w:r>
      <w:r w:rsidR="007F446D">
        <w:t xml:space="preserve">GeoEngineers used </w:t>
      </w:r>
      <w:r w:rsidR="008139BE">
        <w:t>imagery from late July through early September, but also reviewed imagery from</w:t>
      </w:r>
      <w:r w:rsidR="007F446D">
        <w:t xml:space="preserve"> </w:t>
      </w:r>
      <w:r w:rsidR="008139BE">
        <w:t xml:space="preserve">late </w:t>
      </w:r>
      <w:r w:rsidR="007F446D">
        <w:t xml:space="preserve">June and </w:t>
      </w:r>
      <w:r w:rsidR="008139BE">
        <w:t xml:space="preserve">early </w:t>
      </w:r>
      <w:r w:rsidR="007F446D">
        <w:t xml:space="preserve">July when available. </w:t>
      </w:r>
    </w:p>
    <w:p w14:paraId="016E3A36" w14:textId="4ED8863D" w:rsidR="00FA4A65" w:rsidRPr="00625BE6" w:rsidRDefault="00FA4A65" w:rsidP="000A5419">
      <w:pPr>
        <w:pStyle w:val="NoSpacing"/>
        <w:numPr>
          <w:ilvl w:val="1"/>
          <w:numId w:val="2"/>
        </w:numPr>
        <w:rPr>
          <w:b/>
          <w:i/>
          <w:color w:val="0070C0"/>
        </w:rPr>
      </w:pPr>
      <w:r>
        <w:t xml:space="preserve">Matt </w:t>
      </w:r>
      <w:r w:rsidR="008139BE">
        <w:t>s</w:t>
      </w:r>
      <w:r>
        <w:t>uggested ground</w:t>
      </w:r>
      <w:r w:rsidR="008139BE">
        <w:t>-</w:t>
      </w:r>
      <w:r>
        <w:t>truthing, o</w:t>
      </w:r>
      <w:r w:rsidR="008139BE">
        <w:t>r a</w:t>
      </w:r>
      <w:r w:rsidR="00B768CE">
        <w:t xml:space="preserve">pplying nominal acreage to the 80 parcels where the irrigated footprint was delineated as 0 acres </w:t>
      </w:r>
      <w:r>
        <w:t>(</w:t>
      </w:r>
      <w:r w:rsidR="008139BE">
        <w:t>e.g. assume 0.025 acres of irrigation).</w:t>
      </w:r>
    </w:p>
    <w:p w14:paraId="6EABFEA1" w14:textId="661E9F38" w:rsidR="00625BE6" w:rsidRPr="00625BE6" w:rsidRDefault="00625BE6" w:rsidP="00625BE6">
      <w:pPr>
        <w:pStyle w:val="NoSpacing"/>
        <w:numPr>
          <w:ilvl w:val="2"/>
          <w:numId w:val="2"/>
        </w:numPr>
        <w:rPr>
          <w:b/>
          <w:i/>
          <w:color w:val="0070C0"/>
        </w:rPr>
      </w:pPr>
      <w:r>
        <w:t xml:space="preserve">Eric pointed out that although there were many zeros, there were no subbasins where the acreage used for the CU calculator was zero. </w:t>
      </w:r>
    </w:p>
    <w:p w14:paraId="3FCF1976" w14:textId="6890C875" w:rsidR="00625BE6" w:rsidRPr="00625BE6" w:rsidRDefault="00625BE6" w:rsidP="00625BE6">
      <w:pPr>
        <w:pStyle w:val="NoSpacing"/>
        <w:numPr>
          <w:ilvl w:val="2"/>
          <w:numId w:val="2"/>
        </w:numPr>
        <w:rPr>
          <w:b/>
          <w:i/>
          <w:color w:val="0070C0"/>
        </w:rPr>
      </w:pPr>
      <w:r>
        <w:t xml:space="preserve">Cynthia suggested placing a safety factor </w:t>
      </w:r>
      <w:r w:rsidR="003B2BC0">
        <w:t xml:space="preserve">on the overall consumptive use estimate for the WRE Plan, </w:t>
      </w:r>
      <w:r>
        <w:t xml:space="preserve">instead of changing all the zeros. This could also account for outdoor water uses we are not considering, such as car washing. </w:t>
      </w:r>
    </w:p>
    <w:p w14:paraId="182AB7B1" w14:textId="5FF745C1" w:rsidR="00625BE6" w:rsidRPr="00625BE6" w:rsidRDefault="008139BE" w:rsidP="00625BE6">
      <w:pPr>
        <w:pStyle w:val="NoSpacing"/>
        <w:numPr>
          <w:ilvl w:val="2"/>
          <w:numId w:val="2"/>
        </w:numPr>
        <w:rPr>
          <w:b/>
          <w:i/>
          <w:color w:val="0070C0"/>
        </w:rPr>
      </w:pPr>
      <w:r>
        <w:t>Liz and Darryl agree</w:t>
      </w:r>
      <w:r w:rsidR="00625BE6">
        <w:t xml:space="preserve"> with adding a safety factor.</w:t>
      </w:r>
    </w:p>
    <w:p w14:paraId="44BA138F" w14:textId="67AA813E" w:rsidR="003A0821" w:rsidRPr="003A0821" w:rsidRDefault="00625BE6" w:rsidP="00625BE6">
      <w:pPr>
        <w:pStyle w:val="NoSpacing"/>
        <w:numPr>
          <w:ilvl w:val="1"/>
          <w:numId w:val="2"/>
        </w:numPr>
        <w:rPr>
          <w:b/>
          <w:i/>
          <w:color w:val="0070C0"/>
        </w:rPr>
      </w:pPr>
      <w:r>
        <w:t xml:space="preserve">Terri pointed out that the current </w:t>
      </w:r>
      <w:r w:rsidR="00156730">
        <w:t>consumptive use calculation</w:t>
      </w:r>
      <w:r>
        <w:t xml:space="preserve"> did not take </w:t>
      </w:r>
      <w:r w:rsidR="003A0821">
        <w:t xml:space="preserve">into account </w:t>
      </w:r>
      <w:r>
        <w:t>small group developments</w:t>
      </w:r>
      <w:r w:rsidR="003A0821">
        <w:t xml:space="preserve">. </w:t>
      </w:r>
    </w:p>
    <w:p w14:paraId="24CC8DF2" w14:textId="0B8E18EE" w:rsidR="00625BE6" w:rsidRPr="00F15AC9" w:rsidRDefault="003A0821" w:rsidP="003A0821">
      <w:pPr>
        <w:pStyle w:val="NoSpacing"/>
        <w:numPr>
          <w:ilvl w:val="2"/>
          <w:numId w:val="2"/>
        </w:numPr>
        <w:rPr>
          <w:b/>
          <w:i/>
          <w:color w:val="0070C0"/>
        </w:rPr>
      </w:pPr>
      <w:r>
        <w:t xml:space="preserve">Section 6 in Ecology’s </w:t>
      </w:r>
      <w:hyperlink r:id="rId14" w:history="1">
        <w:r w:rsidRPr="003A0821">
          <w:rPr>
            <w:rStyle w:val="Hyperlink"/>
          </w:rPr>
          <w:t>Streamflow Restoration Policy Interpretive Statement</w:t>
        </w:r>
      </w:hyperlink>
      <w:r>
        <w:t xml:space="preserve"> specifies that</w:t>
      </w:r>
      <w:r w:rsidR="00156730">
        <w:t xml:space="preserve"> wells supplying water for all the homes in project, per </w:t>
      </w:r>
      <w:r w:rsidR="00156730">
        <w:rPr>
          <w:i/>
        </w:rPr>
        <w:t>Campbell &amp; Gwinn,</w:t>
      </w:r>
      <w:r>
        <w:t xml:space="preserve"> </w:t>
      </w:r>
      <w:r w:rsidR="00156730">
        <w:t xml:space="preserve">are subject to the withdrawal limits (5,000 gallons per day and ½ acre non-commercial lawn or garden) in aggregate. </w:t>
      </w:r>
    </w:p>
    <w:p w14:paraId="7727F65B" w14:textId="6A7175F0" w:rsidR="00F22D09" w:rsidRPr="00F22D09" w:rsidRDefault="00AB6C4F" w:rsidP="00F15AC9">
      <w:pPr>
        <w:pStyle w:val="NoSpacing"/>
        <w:numPr>
          <w:ilvl w:val="0"/>
          <w:numId w:val="2"/>
        </w:numPr>
        <w:rPr>
          <w:b/>
          <w:i/>
          <w:color w:val="0070C0"/>
        </w:rPr>
      </w:pPr>
      <w:r w:rsidRPr="008139BE">
        <w:rPr>
          <w:b/>
        </w:rPr>
        <w:t xml:space="preserve">The workgroup </w:t>
      </w:r>
      <w:r w:rsidR="00F22D09">
        <w:rPr>
          <w:b/>
        </w:rPr>
        <w:t>recommends the committee approve the</w:t>
      </w:r>
      <w:r w:rsidR="00BD5333">
        <w:rPr>
          <w:b/>
        </w:rPr>
        <w:t xml:space="preserve"> </w:t>
      </w:r>
      <w:r w:rsidRPr="008139BE">
        <w:rPr>
          <w:b/>
        </w:rPr>
        <w:t xml:space="preserve">the consumptive use estimate </w:t>
      </w:r>
      <w:r w:rsidR="00BD5333">
        <w:rPr>
          <w:b/>
        </w:rPr>
        <w:t>from the measured irrigated footprint (</w:t>
      </w:r>
      <w:r w:rsidRPr="008139BE">
        <w:rPr>
          <w:b/>
        </w:rPr>
        <w:t>797.4 acre-feet</w:t>
      </w:r>
      <w:r w:rsidR="00BD5333">
        <w:rPr>
          <w:b/>
        </w:rPr>
        <w:t>)</w:t>
      </w:r>
      <w:r w:rsidR="00F22D09">
        <w:rPr>
          <w:b/>
        </w:rPr>
        <w:t xml:space="preserve">. </w:t>
      </w:r>
    </w:p>
    <w:p w14:paraId="562BABC6" w14:textId="1E9B92A0" w:rsidR="00F15AC9" w:rsidRPr="008139BE" w:rsidRDefault="00F22D09" w:rsidP="00F15AC9">
      <w:pPr>
        <w:pStyle w:val="NoSpacing"/>
        <w:numPr>
          <w:ilvl w:val="0"/>
          <w:numId w:val="2"/>
        </w:numPr>
        <w:rPr>
          <w:b/>
          <w:i/>
          <w:color w:val="0070C0"/>
        </w:rPr>
      </w:pPr>
      <w:r>
        <w:rPr>
          <w:b/>
        </w:rPr>
        <w:t xml:space="preserve">The chair will bring the recommendation to the Committee at the February 13 Committee meeting, in </w:t>
      </w:r>
      <w:r w:rsidR="004C434F">
        <w:rPr>
          <w:b/>
        </w:rPr>
        <w:t>preparation for a vote at the March 12 Committee meeting</w:t>
      </w:r>
      <w:r w:rsidR="008139BE">
        <w:rPr>
          <w:b/>
        </w:rPr>
        <w:t xml:space="preserve">. </w:t>
      </w:r>
    </w:p>
    <w:p w14:paraId="054EE3CB" w14:textId="77777777" w:rsidR="00EE05B7" w:rsidRDefault="00EE05B7" w:rsidP="00C43492">
      <w:pPr>
        <w:pStyle w:val="ListParagraph"/>
        <w:ind w:left="1080"/>
      </w:pPr>
    </w:p>
    <w:p w14:paraId="255EFD2E" w14:textId="6BEE84B0" w:rsidR="00B2764D" w:rsidRDefault="00B2764D" w:rsidP="00B2764D">
      <w:pPr>
        <w:pStyle w:val="Heading1"/>
      </w:pPr>
      <w:r>
        <w:lastRenderedPageBreak/>
        <w:t xml:space="preserve">Consumptive Use Safety Factor </w:t>
      </w:r>
    </w:p>
    <w:p w14:paraId="18085E9E" w14:textId="77777777" w:rsidR="00B2764D" w:rsidRDefault="00B2764D" w:rsidP="00B2764D">
      <w:pPr>
        <w:pStyle w:val="ListParagraph"/>
        <w:numPr>
          <w:ilvl w:val="0"/>
          <w:numId w:val="2"/>
        </w:numPr>
      </w:pPr>
      <w:r>
        <w:t>Objective: Discuss safety factor and additional consumptive use scenarios</w:t>
      </w:r>
    </w:p>
    <w:p w14:paraId="65EEBE70" w14:textId="374E5CAC" w:rsidR="00F15AC9" w:rsidRDefault="00B2764D" w:rsidP="00F15AC9">
      <w:pPr>
        <w:pStyle w:val="NoSpacing"/>
        <w:numPr>
          <w:ilvl w:val="0"/>
          <w:numId w:val="2"/>
        </w:numPr>
      </w:pPr>
      <w:r w:rsidRPr="00F15AC9">
        <w:t xml:space="preserve">Overview of consumptive use calculator scenarios </w:t>
      </w:r>
    </w:p>
    <w:p w14:paraId="54461072" w14:textId="77777777" w:rsidR="00F22D09" w:rsidRDefault="00F22D09" w:rsidP="00F22D09">
      <w:pPr>
        <w:pStyle w:val="NoSpacing"/>
        <w:ind w:left="360"/>
      </w:pPr>
    </w:p>
    <w:tbl>
      <w:tblPr>
        <w:tblW w:w="8970" w:type="dxa"/>
        <w:tblCellMar>
          <w:left w:w="0" w:type="dxa"/>
          <w:right w:w="0" w:type="dxa"/>
        </w:tblCellMar>
        <w:tblLook w:val="0420" w:firstRow="1" w:lastRow="0" w:firstColumn="0" w:lastColumn="0" w:noHBand="0" w:noVBand="1"/>
        <w:tblCaption w:val="WRIA 7 Consumptive Use Scenarios"/>
        <w:tblDescription w:val="WRIA 7 Consumptive Use Scenarios"/>
      </w:tblPr>
      <w:tblGrid>
        <w:gridCol w:w="4490"/>
        <w:gridCol w:w="4480"/>
      </w:tblGrid>
      <w:tr w:rsidR="00BD5333" w:rsidRPr="00F95B1E" w14:paraId="31ED887A" w14:textId="77777777" w:rsidTr="007319C4">
        <w:trPr>
          <w:trHeight w:val="18"/>
        </w:trPr>
        <w:tc>
          <w:tcPr>
            <w:tcW w:w="4490" w:type="dxa"/>
            <w:tcBorders>
              <w:top w:val="single" w:sz="8" w:space="0" w:color="FFFFFF"/>
              <w:left w:val="single" w:sz="8" w:space="0" w:color="FFFFFF"/>
              <w:bottom w:val="single" w:sz="24" w:space="0" w:color="FFFFFF"/>
              <w:right w:val="single" w:sz="8" w:space="0" w:color="FFFFFF"/>
            </w:tcBorders>
            <w:shd w:val="clear" w:color="auto" w:fill="00213A"/>
            <w:tcMar>
              <w:top w:w="72" w:type="dxa"/>
              <w:left w:w="144" w:type="dxa"/>
              <w:bottom w:w="72" w:type="dxa"/>
              <w:right w:w="144" w:type="dxa"/>
            </w:tcMar>
            <w:hideMark/>
          </w:tcPr>
          <w:p w14:paraId="1DB9C712" w14:textId="77777777" w:rsidR="00BD5333" w:rsidRPr="00F95B1E" w:rsidRDefault="00BD5333" w:rsidP="007319C4">
            <w:pPr>
              <w:rPr>
                <w:rFonts w:cstheme="minorHAnsi"/>
              </w:rPr>
            </w:pPr>
            <w:bookmarkStart w:id="0" w:name="_GoBack" w:colFirst="0" w:colLast="2"/>
            <w:r w:rsidRPr="00F95B1E">
              <w:rPr>
                <w:rFonts w:cstheme="minorHAnsi"/>
                <w:b/>
                <w:bCs/>
              </w:rPr>
              <w:t>Scenario (Indoor / Outdoor)</w:t>
            </w:r>
          </w:p>
        </w:tc>
        <w:tc>
          <w:tcPr>
            <w:tcW w:w="4480" w:type="dxa"/>
            <w:tcBorders>
              <w:top w:val="single" w:sz="8" w:space="0" w:color="FFFFFF"/>
              <w:left w:val="single" w:sz="8" w:space="0" w:color="FFFFFF"/>
              <w:bottom w:val="single" w:sz="24" w:space="0" w:color="FFFFFF"/>
              <w:right w:val="single" w:sz="8" w:space="0" w:color="FFFFFF"/>
            </w:tcBorders>
            <w:shd w:val="clear" w:color="auto" w:fill="00213A"/>
            <w:tcMar>
              <w:top w:w="72" w:type="dxa"/>
              <w:left w:w="144" w:type="dxa"/>
              <w:bottom w:w="72" w:type="dxa"/>
              <w:right w:w="144" w:type="dxa"/>
            </w:tcMar>
            <w:hideMark/>
          </w:tcPr>
          <w:p w14:paraId="7B16BA14" w14:textId="77777777" w:rsidR="00BD5333" w:rsidRPr="00F95B1E" w:rsidRDefault="00BD5333" w:rsidP="007319C4">
            <w:pPr>
              <w:rPr>
                <w:rFonts w:cstheme="minorHAnsi"/>
              </w:rPr>
            </w:pPr>
            <w:r w:rsidRPr="00F95B1E">
              <w:rPr>
                <w:rFonts w:cstheme="minorHAnsi"/>
                <w:b/>
                <w:bCs/>
              </w:rPr>
              <w:t>Annual Consumptive Water Use Estimate (acre-feet per year)</w:t>
            </w:r>
          </w:p>
        </w:tc>
      </w:tr>
      <w:tr w:rsidR="00BD5333" w:rsidRPr="00F95B1E" w14:paraId="51DFA481" w14:textId="77777777" w:rsidTr="007319C4">
        <w:trPr>
          <w:trHeight w:val="246"/>
        </w:trPr>
        <w:tc>
          <w:tcPr>
            <w:tcW w:w="4490" w:type="dxa"/>
            <w:tcBorders>
              <w:top w:val="single" w:sz="24" w:space="0" w:color="FFFFFF"/>
              <w:left w:val="single" w:sz="8" w:space="0" w:color="FFFFFF"/>
              <w:bottom w:val="single" w:sz="8" w:space="0" w:color="FFFFFF"/>
              <w:right w:val="single" w:sz="8" w:space="0" w:color="FFFFFF"/>
            </w:tcBorders>
            <w:shd w:val="clear" w:color="auto" w:fill="CBCCCE"/>
            <w:tcMar>
              <w:top w:w="72" w:type="dxa"/>
              <w:left w:w="144" w:type="dxa"/>
              <w:bottom w:w="72" w:type="dxa"/>
              <w:right w:w="144" w:type="dxa"/>
            </w:tcMar>
            <w:hideMark/>
          </w:tcPr>
          <w:p w14:paraId="009989DD" w14:textId="77777777" w:rsidR="00BD5333" w:rsidRPr="00F95B1E" w:rsidRDefault="00BD5333" w:rsidP="007319C4">
            <w:pPr>
              <w:rPr>
                <w:rFonts w:cstheme="minorHAnsi"/>
              </w:rPr>
            </w:pPr>
            <w:r w:rsidRPr="00F95B1E">
              <w:rPr>
                <w:rFonts w:cstheme="minorHAnsi"/>
              </w:rPr>
              <w:t>60 gpd pp / measured irrigated footprint</w:t>
            </w:r>
          </w:p>
        </w:tc>
        <w:tc>
          <w:tcPr>
            <w:tcW w:w="4480" w:type="dxa"/>
            <w:tcBorders>
              <w:top w:val="single" w:sz="24" w:space="0" w:color="FFFFFF"/>
              <w:left w:val="single" w:sz="8" w:space="0" w:color="FFFFFF"/>
              <w:bottom w:val="single" w:sz="8" w:space="0" w:color="FFFFFF"/>
              <w:right w:val="single" w:sz="8" w:space="0" w:color="FFFFFF"/>
            </w:tcBorders>
            <w:shd w:val="clear" w:color="auto" w:fill="CBCCCE"/>
            <w:tcMar>
              <w:top w:w="72" w:type="dxa"/>
              <w:left w:w="144" w:type="dxa"/>
              <w:bottom w:w="72" w:type="dxa"/>
              <w:right w:w="144" w:type="dxa"/>
            </w:tcMar>
            <w:hideMark/>
          </w:tcPr>
          <w:p w14:paraId="1D4A9916" w14:textId="77777777" w:rsidR="00BD5333" w:rsidRPr="00F95B1E" w:rsidRDefault="00BD5333" w:rsidP="007319C4">
            <w:pPr>
              <w:rPr>
                <w:rFonts w:cstheme="minorHAnsi"/>
              </w:rPr>
            </w:pPr>
            <w:r w:rsidRPr="00F95B1E">
              <w:rPr>
                <w:rFonts w:cstheme="minorHAnsi"/>
              </w:rPr>
              <w:t>797</w:t>
            </w:r>
          </w:p>
        </w:tc>
      </w:tr>
      <w:tr w:rsidR="00BD5333" w:rsidRPr="00F95B1E" w14:paraId="7B72FB9D" w14:textId="77777777" w:rsidTr="007319C4">
        <w:trPr>
          <w:trHeight w:val="18"/>
        </w:trPr>
        <w:tc>
          <w:tcPr>
            <w:tcW w:w="4490" w:type="dxa"/>
            <w:tcBorders>
              <w:top w:val="single" w:sz="8" w:space="0" w:color="FFFFFF"/>
              <w:left w:val="single" w:sz="8" w:space="0" w:color="FFFFFF"/>
              <w:bottom w:val="single" w:sz="8" w:space="0" w:color="FFFFFF"/>
              <w:right w:val="single" w:sz="8" w:space="0" w:color="FFFFFF"/>
            </w:tcBorders>
            <w:shd w:val="clear" w:color="auto" w:fill="E7E8E8"/>
            <w:tcMar>
              <w:top w:w="72" w:type="dxa"/>
              <w:left w:w="144" w:type="dxa"/>
              <w:bottom w:w="72" w:type="dxa"/>
              <w:right w:w="144" w:type="dxa"/>
            </w:tcMar>
            <w:hideMark/>
          </w:tcPr>
          <w:p w14:paraId="0BB6C118" w14:textId="77777777" w:rsidR="00BD5333" w:rsidRPr="00F95B1E" w:rsidRDefault="00BD5333" w:rsidP="007319C4">
            <w:pPr>
              <w:rPr>
                <w:rFonts w:cstheme="minorHAnsi"/>
              </w:rPr>
            </w:pPr>
            <w:r w:rsidRPr="00F95B1E">
              <w:rPr>
                <w:rFonts w:cstheme="minorHAnsi"/>
              </w:rPr>
              <w:t>60 gpd pp / 0.5-acre irrigated yard</w:t>
            </w:r>
          </w:p>
        </w:tc>
        <w:tc>
          <w:tcPr>
            <w:tcW w:w="4480" w:type="dxa"/>
            <w:tcBorders>
              <w:top w:val="single" w:sz="8" w:space="0" w:color="FFFFFF"/>
              <w:left w:val="single" w:sz="8" w:space="0" w:color="FFFFFF"/>
              <w:bottom w:val="single" w:sz="8" w:space="0" w:color="FFFFFF"/>
              <w:right w:val="single" w:sz="8" w:space="0" w:color="FFFFFF"/>
            </w:tcBorders>
            <w:shd w:val="clear" w:color="auto" w:fill="E7E8E8"/>
            <w:tcMar>
              <w:top w:w="72" w:type="dxa"/>
              <w:left w:w="144" w:type="dxa"/>
              <w:bottom w:w="72" w:type="dxa"/>
              <w:right w:w="144" w:type="dxa"/>
            </w:tcMar>
            <w:hideMark/>
          </w:tcPr>
          <w:p w14:paraId="7D1A77CD" w14:textId="77777777" w:rsidR="00BD5333" w:rsidRPr="00F95B1E" w:rsidRDefault="00BD5333" w:rsidP="007319C4">
            <w:pPr>
              <w:rPr>
                <w:rFonts w:cstheme="minorHAnsi"/>
              </w:rPr>
            </w:pPr>
            <w:r w:rsidRPr="00F95B1E">
              <w:rPr>
                <w:rFonts w:cstheme="minorHAnsi"/>
              </w:rPr>
              <w:t>1,885</w:t>
            </w:r>
          </w:p>
        </w:tc>
      </w:tr>
      <w:tr w:rsidR="00BD5333" w:rsidRPr="00F95B1E" w14:paraId="4D44A53C" w14:textId="77777777" w:rsidTr="007319C4">
        <w:trPr>
          <w:trHeight w:val="18"/>
        </w:trPr>
        <w:tc>
          <w:tcPr>
            <w:tcW w:w="4490" w:type="dxa"/>
            <w:tcBorders>
              <w:top w:val="single" w:sz="8" w:space="0" w:color="FFFFFF"/>
              <w:left w:val="single" w:sz="8" w:space="0" w:color="FFFFFF"/>
              <w:bottom w:val="single" w:sz="8" w:space="0" w:color="FFFFFF"/>
              <w:right w:val="single" w:sz="8" w:space="0" w:color="FFFFFF"/>
            </w:tcBorders>
            <w:shd w:val="clear" w:color="auto" w:fill="CBCCCE"/>
            <w:tcMar>
              <w:top w:w="72" w:type="dxa"/>
              <w:left w:w="144" w:type="dxa"/>
              <w:bottom w:w="72" w:type="dxa"/>
              <w:right w:w="144" w:type="dxa"/>
            </w:tcMar>
            <w:hideMark/>
          </w:tcPr>
          <w:p w14:paraId="052BB7E4" w14:textId="65063178" w:rsidR="00BD5333" w:rsidRPr="00F95B1E" w:rsidRDefault="00BD5333" w:rsidP="00B768CE">
            <w:pPr>
              <w:rPr>
                <w:rFonts w:cstheme="minorHAnsi"/>
              </w:rPr>
            </w:pPr>
            <w:r w:rsidRPr="00F95B1E">
              <w:rPr>
                <w:rFonts w:cstheme="minorHAnsi"/>
              </w:rPr>
              <w:t>950 gpd</w:t>
            </w:r>
            <w:r w:rsidR="00B768CE">
              <w:rPr>
                <w:rFonts w:cstheme="minorHAnsi"/>
              </w:rPr>
              <w:t>*</w:t>
            </w:r>
            <w:r w:rsidRPr="00F95B1E">
              <w:rPr>
                <w:rFonts w:cstheme="minorHAnsi"/>
              </w:rPr>
              <w:t xml:space="preserve"> </w:t>
            </w:r>
          </w:p>
        </w:tc>
        <w:tc>
          <w:tcPr>
            <w:tcW w:w="4480" w:type="dxa"/>
            <w:tcBorders>
              <w:top w:val="single" w:sz="8" w:space="0" w:color="FFFFFF"/>
              <w:left w:val="single" w:sz="8" w:space="0" w:color="FFFFFF"/>
              <w:bottom w:val="single" w:sz="8" w:space="0" w:color="FFFFFF"/>
              <w:right w:val="single" w:sz="8" w:space="0" w:color="FFFFFF"/>
            </w:tcBorders>
            <w:shd w:val="clear" w:color="auto" w:fill="CBCCCE"/>
            <w:tcMar>
              <w:top w:w="72" w:type="dxa"/>
              <w:left w:w="144" w:type="dxa"/>
              <w:bottom w:w="72" w:type="dxa"/>
              <w:right w:w="144" w:type="dxa"/>
            </w:tcMar>
            <w:hideMark/>
          </w:tcPr>
          <w:p w14:paraId="793A510F" w14:textId="77777777" w:rsidR="00BD5333" w:rsidRPr="00F95B1E" w:rsidRDefault="00BD5333" w:rsidP="007319C4">
            <w:pPr>
              <w:rPr>
                <w:rFonts w:cstheme="minorHAnsi"/>
              </w:rPr>
            </w:pPr>
            <w:r w:rsidRPr="00F95B1E">
              <w:rPr>
                <w:rFonts w:cstheme="minorHAnsi"/>
              </w:rPr>
              <w:t>2,448</w:t>
            </w:r>
          </w:p>
        </w:tc>
      </w:tr>
    </w:tbl>
    <w:bookmarkEnd w:id="0"/>
    <w:p w14:paraId="3DF29137" w14:textId="69E8A1F0" w:rsidR="00BD5333" w:rsidRDefault="00B768CE" w:rsidP="00B768CE">
      <w:pPr>
        <w:pStyle w:val="NoSpacing"/>
      </w:pPr>
      <w:r>
        <w:t>*Legal right</w:t>
      </w:r>
      <w:r w:rsidRPr="00B768CE">
        <w:t xml:space="preserve"> to </w:t>
      </w:r>
      <w:r>
        <w:t>950 gallons per</w:t>
      </w:r>
      <w:r w:rsidR="005D287E">
        <w:t xml:space="preserve"> day</w:t>
      </w:r>
      <w:r w:rsidRPr="00B768CE">
        <w:t xml:space="preserve"> (maximum annual average</w:t>
      </w:r>
      <w:r>
        <w:t xml:space="preserve"> withdrawal) per </w:t>
      </w:r>
      <w:r w:rsidRPr="00B768CE">
        <w:t xml:space="preserve">well connection for indoor and outdoor household use. Assumes 60 gallons per day per person </w:t>
      </w:r>
      <w:r w:rsidR="005D287E">
        <w:t xml:space="preserve">for </w:t>
      </w:r>
      <w:r w:rsidRPr="00B768CE">
        <w:t>indoor use and remainder to outdoor use</w:t>
      </w:r>
      <w:r>
        <w:t xml:space="preserve">. </w:t>
      </w:r>
    </w:p>
    <w:p w14:paraId="20407CF3" w14:textId="77777777" w:rsidR="00B768CE" w:rsidRPr="00F15AC9" w:rsidRDefault="00B768CE" w:rsidP="00B768CE">
      <w:pPr>
        <w:pStyle w:val="NoSpacing"/>
      </w:pPr>
    </w:p>
    <w:p w14:paraId="28315A26" w14:textId="77777777" w:rsidR="00EE1541" w:rsidRDefault="00B2764D" w:rsidP="00EE1541">
      <w:pPr>
        <w:pStyle w:val="ListParagraph"/>
        <w:numPr>
          <w:ilvl w:val="0"/>
          <w:numId w:val="2"/>
        </w:numPr>
      </w:pPr>
      <w:r>
        <w:t>Discuss whether to include a safety factor &amp; options to consider</w:t>
      </w:r>
    </w:p>
    <w:p w14:paraId="06AE64EF" w14:textId="377A448F" w:rsidR="00EE1541" w:rsidRPr="00EE1541" w:rsidRDefault="008C332C" w:rsidP="00EE1541">
      <w:pPr>
        <w:pStyle w:val="ListParagraph"/>
        <w:numPr>
          <w:ilvl w:val="1"/>
          <w:numId w:val="2"/>
        </w:numPr>
      </w:pPr>
      <w:r>
        <w:t>Ingria opened the discussion on developing a safety factor. Co</w:t>
      </w:r>
      <w:r w:rsidR="007128AA">
        <w:t xml:space="preserve">mmittee </w:t>
      </w:r>
      <w:r w:rsidR="009C3291" w:rsidRPr="00EE1541">
        <w:t xml:space="preserve">members have been discussing how to address the uncertainty that will be inherent in some elements of the </w:t>
      </w:r>
      <w:r w:rsidR="007128AA">
        <w:t>WRE Plan</w:t>
      </w:r>
      <w:r w:rsidR="009C3291" w:rsidRPr="00EE1541">
        <w:t xml:space="preserve">. </w:t>
      </w:r>
      <w:r>
        <w:t>While not required, the Committee may choose to add one or more safety factors.  If a safety factor is included, it could help ensure that the Net Ecological Benefit (NEB) requirement is met by the plan, even if there is uncertainty in some of the assumptions used in the analysis.  Including a safety factor could result in establishing the goal for an offset target, or it could identify a higher “scenario” offset in addition to the</w:t>
      </w:r>
      <w:r w:rsidR="00E8217D">
        <w:t xml:space="preserve"> offset goal of 747.4 acre-feet.</w:t>
      </w:r>
    </w:p>
    <w:p w14:paraId="3CA07A73" w14:textId="3E9A8FD2" w:rsidR="00C43492" w:rsidRDefault="00EE1541" w:rsidP="00EE1541">
      <w:pPr>
        <w:pStyle w:val="ListParagraph"/>
        <w:numPr>
          <w:ilvl w:val="1"/>
          <w:numId w:val="2"/>
        </w:numPr>
      </w:pPr>
      <w:r w:rsidRPr="00EE1541">
        <w:t>Ingria p</w:t>
      </w:r>
      <w:r w:rsidR="00C43492" w:rsidRPr="00EE1541">
        <w:t>rovide</w:t>
      </w:r>
      <w:r w:rsidRPr="00EE1541">
        <w:t>d</w:t>
      </w:r>
      <w:r w:rsidR="00C43492" w:rsidRPr="00EE1541">
        <w:t xml:space="preserve"> context for magnitude of specific safety factor considerations</w:t>
      </w:r>
      <w:r w:rsidR="007128AA">
        <w:t xml:space="preserve">, including </w:t>
      </w:r>
      <w:r w:rsidR="00DC3811">
        <w:t xml:space="preserve">project considerations under discussion at the project subgroup. </w:t>
      </w:r>
      <w:r w:rsidR="00F22D09">
        <w:t xml:space="preserve">The committee can also develop an adaptive management plan to address uncertainty in the WRE Plan. </w:t>
      </w:r>
    </w:p>
    <w:p w14:paraId="472F3B50" w14:textId="77777777" w:rsidR="00B15D51" w:rsidRDefault="00B15D51" w:rsidP="00B15D51">
      <w:pPr>
        <w:pStyle w:val="ListParagraph"/>
        <w:ind w:left="1080"/>
      </w:pPr>
    </w:p>
    <w:p w14:paraId="5A890EC9" w14:textId="0DD5F473" w:rsidR="00BD5333" w:rsidRDefault="00BD5333" w:rsidP="00BD5333">
      <w:pPr>
        <w:ind w:left="720" w:hanging="720"/>
      </w:pPr>
      <w:r>
        <w:rPr>
          <w:noProof/>
        </w:rPr>
        <w:drawing>
          <wp:inline distT="0" distB="0" distL="0" distR="0" wp14:anchorId="640F9ECA" wp14:editId="460140C9">
            <wp:extent cx="6156741" cy="2567940"/>
            <wp:effectExtent l="0" t="0" r="0" b="3810"/>
            <wp:docPr id="1" name="Picture 1" descr="How should these be considered when setting and offsetting targets?" title="How should these be considered when setting and offsetting 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9935"/>
                    <a:stretch/>
                  </pic:blipFill>
                  <pic:spPr bwMode="auto">
                    <a:xfrm>
                      <a:off x="0" y="0"/>
                      <a:ext cx="6159376" cy="2569039"/>
                    </a:xfrm>
                    <a:prstGeom prst="rect">
                      <a:avLst/>
                    </a:prstGeom>
                    <a:ln>
                      <a:noFill/>
                    </a:ln>
                    <a:extLst>
                      <a:ext uri="{53640926-AAD7-44D8-BBD7-CCE9431645EC}">
                        <a14:shadowObscured xmlns:a14="http://schemas.microsoft.com/office/drawing/2010/main"/>
                      </a:ext>
                    </a:extLst>
                  </pic:spPr>
                </pic:pic>
              </a:graphicData>
            </a:graphic>
          </wp:inline>
        </w:drawing>
      </w:r>
    </w:p>
    <w:p w14:paraId="78FD34B9" w14:textId="77777777" w:rsidR="00BD5333" w:rsidRDefault="00BD5333" w:rsidP="00BD5333">
      <w:pPr>
        <w:ind w:left="720"/>
      </w:pPr>
    </w:p>
    <w:p w14:paraId="5B07A1A5" w14:textId="5E930533" w:rsidR="0002402F" w:rsidRDefault="0002402F" w:rsidP="00F15AC9">
      <w:pPr>
        <w:pStyle w:val="ListParagraph"/>
        <w:numPr>
          <w:ilvl w:val="1"/>
          <w:numId w:val="2"/>
        </w:numPr>
      </w:pPr>
      <w:r>
        <w:t>Liz opened discussion on ho</w:t>
      </w:r>
      <w:r w:rsidR="00346A57">
        <w:t xml:space="preserve">w to quantify habitat projects and proposed establishing an agreed-upon </w:t>
      </w:r>
      <w:r>
        <w:t xml:space="preserve">“minimum </w:t>
      </w:r>
      <w:r w:rsidR="00346A57">
        <w:t xml:space="preserve">water </w:t>
      </w:r>
      <w:r>
        <w:t>offset” that certain type</w:t>
      </w:r>
      <w:r w:rsidR="00346A57">
        <w:t xml:space="preserve"> of habitat projects provided</w:t>
      </w:r>
      <w:r>
        <w:t xml:space="preserve">. </w:t>
      </w:r>
      <w:r w:rsidR="00346A57">
        <w:t>GeoEngineers will be providing a proposed method for calculating water offset from habitat projects at the February 13</w:t>
      </w:r>
      <w:r w:rsidR="00346A57">
        <w:rPr>
          <w:vertAlign w:val="superscript"/>
        </w:rPr>
        <w:t xml:space="preserve"> </w:t>
      </w:r>
      <w:r w:rsidR="00346A57">
        <w:t xml:space="preserve">Committee meeting. The committee and workgroup will continue this discussion. </w:t>
      </w:r>
    </w:p>
    <w:p w14:paraId="7DCE6D3D" w14:textId="4075140E" w:rsidR="00C43492" w:rsidRPr="008C332C" w:rsidRDefault="0002402F" w:rsidP="008C332C">
      <w:pPr>
        <w:pStyle w:val="ListParagraph"/>
        <w:numPr>
          <w:ilvl w:val="1"/>
          <w:numId w:val="2"/>
        </w:numPr>
      </w:pPr>
      <w:r>
        <w:lastRenderedPageBreak/>
        <w:t>Kirk voiced the importance of having actual measurable</w:t>
      </w:r>
      <w:r w:rsidR="00BD5333">
        <w:t xml:space="preserve"> water</w:t>
      </w:r>
      <w:r>
        <w:t xml:space="preserve"> offset projects. He highlighted the need for more </w:t>
      </w:r>
      <w:r w:rsidR="00BD5333">
        <w:t xml:space="preserve">stream </w:t>
      </w:r>
      <w:r>
        <w:t xml:space="preserve">gauges and the inherent </w:t>
      </w:r>
      <w:r w:rsidR="00BD5333">
        <w:t>variability in</w:t>
      </w:r>
      <w:r>
        <w:t xml:space="preserve"> habitat projects. He also brought up the challenges the Tulalip hatchery experiences and the ways projects could help with our offsets and actively manage during drought periods. </w:t>
      </w:r>
    </w:p>
    <w:p w14:paraId="210C0154" w14:textId="493B5AC1" w:rsidR="00B2764D" w:rsidRDefault="00B2764D" w:rsidP="00B2764D">
      <w:pPr>
        <w:pStyle w:val="Heading1"/>
      </w:pPr>
      <w:r>
        <w:t xml:space="preserve">Next Steps </w:t>
      </w:r>
    </w:p>
    <w:p w14:paraId="303CCE8E" w14:textId="16F17A99" w:rsidR="00B2764D" w:rsidRDefault="00B2764D" w:rsidP="00B2764D">
      <w:pPr>
        <w:pStyle w:val="ListParagraph"/>
        <w:numPr>
          <w:ilvl w:val="0"/>
          <w:numId w:val="3"/>
        </w:numPr>
        <w:ind w:left="360"/>
        <w:rPr>
          <w:bCs/>
          <w:color w:val="000000" w:themeColor="text1"/>
        </w:rPr>
      </w:pPr>
      <w:r w:rsidRPr="00C64A47">
        <w:rPr>
          <w:bCs/>
          <w:color w:val="000000" w:themeColor="text1"/>
        </w:rPr>
        <w:t>Next Committee Meeting:</w:t>
      </w:r>
      <w:r>
        <w:rPr>
          <w:bCs/>
          <w:color w:val="000000" w:themeColor="text1"/>
        </w:rPr>
        <w:t xml:space="preserve"> February 13, Everett Public Library </w:t>
      </w:r>
    </w:p>
    <w:p w14:paraId="0323D89A" w14:textId="293CEE9F" w:rsidR="00F22D09" w:rsidRPr="00F22D09" w:rsidRDefault="00F22D09" w:rsidP="00F22D09">
      <w:pPr>
        <w:pStyle w:val="NoSpacing"/>
        <w:numPr>
          <w:ilvl w:val="1"/>
          <w:numId w:val="2"/>
        </w:numPr>
        <w:rPr>
          <w:i/>
          <w:color w:val="0070C0"/>
        </w:rPr>
      </w:pPr>
      <w:r w:rsidRPr="00F22D09">
        <w:t>The workgroup recommend</w:t>
      </w:r>
      <w:r w:rsidR="008C332C">
        <w:t xml:space="preserve">s the committee approve the </w:t>
      </w:r>
      <w:r w:rsidRPr="00F22D09">
        <w:t xml:space="preserve">consumptive use estimate from the measured irrigated footprint (797.4 acre-feet). </w:t>
      </w:r>
    </w:p>
    <w:p w14:paraId="11394A4A" w14:textId="77777777" w:rsidR="00F22D09" w:rsidRPr="00F22D09" w:rsidRDefault="00F22D09" w:rsidP="00F22D09">
      <w:pPr>
        <w:pStyle w:val="NoSpacing"/>
        <w:numPr>
          <w:ilvl w:val="1"/>
          <w:numId w:val="2"/>
        </w:numPr>
        <w:rPr>
          <w:i/>
          <w:color w:val="0070C0"/>
        </w:rPr>
      </w:pPr>
      <w:r w:rsidRPr="00F22D09">
        <w:t xml:space="preserve">The chair will bring the recommendation to the Committee at the February 13 Committee meeting, in preparation for a vote at the March 12 Committee meeting. </w:t>
      </w:r>
    </w:p>
    <w:p w14:paraId="27CCF1CF" w14:textId="259D1065" w:rsidR="00B2764D" w:rsidRDefault="00B2764D" w:rsidP="00B2764D">
      <w:pPr>
        <w:pStyle w:val="ListParagraph"/>
        <w:numPr>
          <w:ilvl w:val="0"/>
          <w:numId w:val="2"/>
        </w:numPr>
      </w:pPr>
      <w:r>
        <w:t xml:space="preserve">Next Technical Workgroup Meeting: Date TBD </w:t>
      </w:r>
    </w:p>
    <w:p w14:paraId="7DBBAFF6" w14:textId="54DCAF3E" w:rsidR="009C3291" w:rsidRDefault="00F15AC9" w:rsidP="00EE1541">
      <w:pPr>
        <w:pStyle w:val="ListParagraph"/>
        <w:numPr>
          <w:ilvl w:val="1"/>
          <w:numId w:val="2"/>
        </w:numPr>
      </w:pPr>
      <w:r>
        <w:t>Please develop a proposal for a safety factor methodology</w:t>
      </w:r>
    </w:p>
    <w:p w14:paraId="25EF2310" w14:textId="313BD1AA" w:rsidR="00346A57" w:rsidRDefault="00346A57" w:rsidP="00346A57">
      <w:pPr>
        <w:pStyle w:val="Heading1"/>
      </w:pPr>
      <w:r>
        <w:t>Action Items</w:t>
      </w:r>
    </w:p>
    <w:p w14:paraId="5EE72F10" w14:textId="74C2DCFC" w:rsidR="00346A57" w:rsidRDefault="00346A57" w:rsidP="00346A57">
      <w:pPr>
        <w:pStyle w:val="ListParagraph"/>
        <w:numPr>
          <w:ilvl w:val="0"/>
          <w:numId w:val="2"/>
        </w:numPr>
      </w:pPr>
      <w:r>
        <w:t>Fill out the</w:t>
      </w:r>
      <w:r w:rsidR="006B12FA">
        <w:t xml:space="preserve"> </w:t>
      </w:r>
      <w:hyperlink r:id="rId16" w:history="1">
        <w:r w:rsidR="006B12FA">
          <w:rPr>
            <w:rStyle w:val="Hyperlink"/>
          </w:rPr>
          <w:t>doodle poll</w:t>
        </w:r>
      </w:hyperlink>
      <w:r w:rsidR="006B12FA">
        <w:t xml:space="preserve"> </w:t>
      </w:r>
      <w:r>
        <w:t xml:space="preserve"> for the next Technical Workgroup Meeting</w:t>
      </w:r>
      <w:r w:rsidR="008C332C">
        <w:t xml:space="preserve"> </w:t>
      </w:r>
      <w:r w:rsidR="008C332C">
        <w:rPr>
          <w:b/>
        </w:rPr>
        <w:t>by January 31</w:t>
      </w:r>
      <w:r>
        <w:t xml:space="preserve">. </w:t>
      </w:r>
    </w:p>
    <w:p w14:paraId="3380134F" w14:textId="46DDEDDA" w:rsidR="006B12FA" w:rsidRDefault="006B12FA" w:rsidP="00346A57">
      <w:pPr>
        <w:pStyle w:val="ListParagraph"/>
        <w:numPr>
          <w:ilvl w:val="0"/>
          <w:numId w:val="2"/>
        </w:numPr>
      </w:pPr>
      <w:r>
        <w:t xml:space="preserve">Send Ingria your proposal for a safety factor. </w:t>
      </w:r>
    </w:p>
    <w:p w14:paraId="5C4ED216" w14:textId="77777777" w:rsidR="006B12FA" w:rsidRDefault="006B12FA" w:rsidP="006B12FA">
      <w:pPr>
        <w:pStyle w:val="ListParagraph"/>
        <w:numPr>
          <w:ilvl w:val="0"/>
          <w:numId w:val="2"/>
        </w:numPr>
        <w:contextualSpacing w:val="0"/>
      </w:pPr>
      <w:r>
        <w:t xml:space="preserve">Read Appendix B in the </w:t>
      </w:r>
      <w:hyperlink r:id="rId17" w:history="1">
        <w:r>
          <w:rPr>
            <w:rStyle w:val="Hyperlink"/>
          </w:rPr>
          <w:t>Final NEB Guidance</w:t>
        </w:r>
      </w:hyperlink>
      <w:r>
        <w:t xml:space="preserve"> (7 pages) and send me any red flag questions or comments </w:t>
      </w:r>
      <w:r>
        <w:rPr>
          <w:b/>
          <w:bCs/>
        </w:rPr>
        <w:t>by February 11.</w:t>
      </w:r>
      <w:r>
        <w:t xml:space="preserve">  </w:t>
      </w:r>
    </w:p>
    <w:p w14:paraId="4AFA99D7" w14:textId="7179F34C" w:rsidR="006B12FA" w:rsidRPr="00346A57" w:rsidRDefault="006B12FA" w:rsidP="00E8217D">
      <w:pPr>
        <w:pStyle w:val="ListParagraph"/>
        <w:numPr>
          <w:ilvl w:val="1"/>
          <w:numId w:val="2"/>
        </w:numPr>
        <w:contextualSpacing w:val="0"/>
      </w:pPr>
      <w:r>
        <w:t>Appendix B discusses steady-state assumptions for groundwater. John C</w:t>
      </w:r>
      <w:r w:rsidR="003E2A63">
        <w:t xml:space="preserve">overt introduced </w:t>
      </w:r>
      <w:r>
        <w:t xml:space="preserve">this in his </w:t>
      </w:r>
      <w:hyperlink r:id="rId18" w:history="1">
        <w:r>
          <w:rPr>
            <w:rStyle w:val="Hyperlink"/>
          </w:rPr>
          <w:t>hydrogeology presentation</w:t>
        </w:r>
      </w:hyperlink>
      <w:r w:rsidR="00E8217D">
        <w:t xml:space="preserve"> in March last year.</w:t>
      </w:r>
    </w:p>
    <w:sectPr w:rsidR="006B12FA" w:rsidRPr="00346A57" w:rsidSect="00CF3536">
      <w:type w:val="continuous"/>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42E4"/>
    <w:multiLevelType w:val="hybridMultilevel"/>
    <w:tmpl w:val="61E2B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2D2D65"/>
    <w:multiLevelType w:val="hybridMultilevel"/>
    <w:tmpl w:val="72ACD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102A3"/>
    <w:multiLevelType w:val="hybridMultilevel"/>
    <w:tmpl w:val="9F6A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A77440"/>
    <w:multiLevelType w:val="hybridMultilevel"/>
    <w:tmpl w:val="1E3AD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B0866"/>
    <w:multiLevelType w:val="hybridMultilevel"/>
    <w:tmpl w:val="0E88C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580078"/>
    <w:multiLevelType w:val="hybridMultilevel"/>
    <w:tmpl w:val="3CAC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214EE"/>
    <w:multiLevelType w:val="hybridMultilevel"/>
    <w:tmpl w:val="26701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2402F"/>
    <w:rsid w:val="000978B7"/>
    <w:rsid w:val="000A5419"/>
    <w:rsid w:val="000C069A"/>
    <w:rsid w:val="001050C7"/>
    <w:rsid w:val="00156730"/>
    <w:rsid w:val="00174927"/>
    <w:rsid w:val="001C36FC"/>
    <w:rsid w:val="002C11FE"/>
    <w:rsid w:val="002E0AFF"/>
    <w:rsid w:val="00342C0E"/>
    <w:rsid w:val="00346A57"/>
    <w:rsid w:val="003A0821"/>
    <w:rsid w:val="003A6DC0"/>
    <w:rsid w:val="003B2BC0"/>
    <w:rsid w:val="003E2A63"/>
    <w:rsid w:val="004244C1"/>
    <w:rsid w:val="004C434F"/>
    <w:rsid w:val="00510EA2"/>
    <w:rsid w:val="005D287E"/>
    <w:rsid w:val="005D4C69"/>
    <w:rsid w:val="00625BE6"/>
    <w:rsid w:val="006506AA"/>
    <w:rsid w:val="006B12FA"/>
    <w:rsid w:val="007128AA"/>
    <w:rsid w:val="00726068"/>
    <w:rsid w:val="00770E3E"/>
    <w:rsid w:val="007F446D"/>
    <w:rsid w:val="008139BE"/>
    <w:rsid w:val="008320B1"/>
    <w:rsid w:val="008C332C"/>
    <w:rsid w:val="008E29BE"/>
    <w:rsid w:val="00922E21"/>
    <w:rsid w:val="00937CB3"/>
    <w:rsid w:val="009C3291"/>
    <w:rsid w:val="009D750E"/>
    <w:rsid w:val="009F1B61"/>
    <w:rsid w:val="00A86010"/>
    <w:rsid w:val="00AB61C0"/>
    <w:rsid w:val="00AB6C4F"/>
    <w:rsid w:val="00B15D51"/>
    <w:rsid w:val="00B2764D"/>
    <w:rsid w:val="00B768CE"/>
    <w:rsid w:val="00BD5333"/>
    <w:rsid w:val="00C43492"/>
    <w:rsid w:val="00CC3C69"/>
    <w:rsid w:val="00CF58AB"/>
    <w:rsid w:val="00D1010D"/>
    <w:rsid w:val="00D109E1"/>
    <w:rsid w:val="00DC3811"/>
    <w:rsid w:val="00E34AA7"/>
    <w:rsid w:val="00E8217D"/>
    <w:rsid w:val="00EC774A"/>
    <w:rsid w:val="00EE05B7"/>
    <w:rsid w:val="00EE1541"/>
    <w:rsid w:val="00EE6E42"/>
    <w:rsid w:val="00F15AC9"/>
    <w:rsid w:val="00F22D09"/>
    <w:rsid w:val="00FA4A65"/>
    <w:rsid w:val="00FB6526"/>
    <w:rsid w:val="00FD536F"/>
    <w:rsid w:val="00FE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64D"/>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B276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64D"/>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B2764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2764D"/>
    <w:rPr>
      <w:color w:val="0563C1"/>
      <w:u w:val="single"/>
    </w:rPr>
  </w:style>
  <w:style w:type="character" w:customStyle="1" w:styleId="Sub-titlestyleChar">
    <w:name w:val="Sub-title style Char"/>
    <w:basedOn w:val="DefaultParagraphFont"/>
    <w:link w:val="Sub-titlestyle"/>
    <w:locked/>
    <w:rsid w:val="00B2764D"/>
    <w:rPr>
      <w:rFonts w:ascii="Rockwell" w:hAnsi="Rockwell"/>
      <w:color w:val="0070C0"/>
    </w:rPr>
  </w:style>
  <w:style w:type="paragraph" w:customStyle="1" w:styleId="Sub-titlestyle">
    <w:name w:val="Sub-title style"/>
    <w:basedOn w:val="Normal"/>
    <w:link w:val="Sub-titlestyleChar"/>
    <w:rsid w:val="00B2764D"/>
    <w:pPr>
      <w:ind w:firstLine="1800"/>
    </w:pPr>
    <w:rPr>
      <w:rFonts w:ascii="Rockwell" w:hAnsi="Rockwell"/>
      <w:color w:val="0070C0"/>
    </w:rPr>
  </w:style>
  <w:style w:type="character" w:customStyle="1" w:styleId="TitlestyleChar">
    <w:name w:val="Title style Char"/>
    <w:basedOn w:val="DefaultParagraphFont"/>
    <w:link w:val="Titlestyle"/>
    <w:locked/>
    <w:rsid w:val="00B2764D"/>
    <w:rPr>
      <w:rFonts w:ascii="Rockwell" w:hAnsi="Rockwell"/>
      <w:color w:val="7F7F7F"/>
    </w:rPr>
  </w:style>
  <w:style w:type="paragraph" w:customStyle="1" w:styleId="Titlestyle">
    <w:name w:val="Title style"/>
    <w:basedOn w:val="Normal"/>
    <w:link w:val="TitlestyleChar"/>
    <w:rsid w:val="00B2764D"/>
    <w:pPr>
      <w:ind w:firstLine="1800"/>
    </w:pPr>
    <w:rPr>
      <w:rFonts w:ascii="Rockwell" w:hAnsi="Rockwell"/>
      <w:color w:val="7F7F7F"/>
    </w:rPr>
  </w:style>
  <w:style w:type="character" w:customStyle="1" w:styleId="Normal1styleChar">
    <w:name w:val="Normal 1 style Char"/>
    <w:basedOn w:val="DefaultParagraphFont"/>
    <w:link w:val="Normal1style"/>
    <w:locked/>
    <w:rsid w:val="00B2764D"/>
    <w:rPr>
      <w:rFonts w:ascii="Calibri" w:hAnsi="Calibri"/>
    </w:rPr>
  </w:style>
  <w:style w:type="paragraph" w:customStyle="1" w:styleId="Normal1style">
    <w:name w:val="Normal 1 style"/>
    <w:basedOn w:val="Normal"/>
    <w:link w:val="Normal1styleChar"/>
    <w:rsid w:val="00B2764D"/>
    <w:pPr>
      <w:contextualSpacing/>
    </w:pPr>
    <w:rPr>
      <w:rFonts w:ascii="Calibri" w:hAnsi="Calibri"/>
    </w:rPr>
  </w:style>
  <w:style w:type="paragraph" w:styleId="ListParagraph">
    <w:name w:val="List Paragraph"/>
    <w:basedOn w:val="Normal"/>
    <w:uiPriority w:val="34"/>
    <w:qFormat/>
    <w:rsid w:val="00B2764D"/>
    <w:pPr>
      <w:ind w:left="720"/>
      <w:contextualSpacing/>
    </w:pPr>
    <w:rPr>
      <w:rFonts w:ascii="Calibri" w:hAnsi="Calibri" w:cs="Times New Roman"/>
      <w:sz w:val="22"/>
      <w:szCs w:val="22"/>
    </w:rPr>
  </w:style>
  <w:style w:type="character" w:styleId="CommentReference">
    <w:name w:val="annotation reference"/>
    <w:basedOn w:val="DefaultParagraphFont"/>
    <w:uiPriority w:val="99"/>
    <w:semiHidden/>
    <w:unhideWhenUsed/>
    <w:rsid w:val="00B2764D"/>
    <w:rPr>
      <w:sz w:val="16"/>
      <w:szCs w:val="16"/>
    </w:rPr>
  </w:style>
  <w:style w:type="paragraph" w:styleId="CommentText">
    <w:name w:val="annotation text"/>
    <w:basedOn w:val="Normal"/>
    <w:link w:val="CommentTextChar"/>
    <w:uiPriority w:val="99"/>
    <w:semiHidden/>
    <w:unhideWhenUsed/>
    <w:rsid w:val="00B2764D"/>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B2764D"/>
    <w:rPr>
      <w:rFonts w:ascii="Calibri" w:hAnsi="Calibri" w:cs="Times New Roman"/>
      <w:sz w:val="20"/>
      <w:szCs w:val="20"/>
    </w:rPr>
  </w:style>
  <w:style w:type="paragraph" w:styleId="BalloonText">
    <w:name w:val="Balloon Text"/>
    <w:basedOn w:val="Normal"/>
    <w:link w:val="BalloonTextChar"/>
    <w:uiPriority w:val="99"/>
    <w:semiHidden/>
    <w:unhideWhenUsed/>
    <w:rsid w:val="00B27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64D"/>
    <w:rPr>
      <w:rFonts w:ascii="Segoe UI" w:hAnsi="Segoe UI" w:cs="Segoe UI"/>
      <w:sz w:val="18"/>
      <w:szCs w:val="18"/>
    </w:rPr>
  </w:style>
  <w:style w:type="paragraph" w:styleId="NoSpacing">
    <w:name w:val="No Spacing"/>
    <w:uiPriority w:val="1"/>
    <w:qFormat/>
    <w:rsid w:val="00EE05B7"/>
    <w:rPr>
      <w:sz w:val="22"/>
      <w:szCs w:val="22"/>
    </w:rPr>
  </w:style>
  <w:style w:type="paragraph" w:styleId="CommentSubject">
    <w:name w:val="annotation subject"/>
    <w:basedOn w:val="CommentText"/>
    <w:next w:val="CommentText"/>
    <w:link w:val="CommentSubjectChar"/>
    <w:uiPriority w:val="99"/>
    <w:semiHidden/>
    <w:unhideWhenUsed/>
    <w:rsid w:val="00937CB3"/>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37CB3"/>
    <w:rPr>
      <w:rFonts w:ascii="Calibri" w:hAnsi="Calibri" w:cs="Times New Roman"/>
      <w:b/>
      <w:bCs/>
      <w:sz w:val="20"/>
      <w:szCs w:val="20"/>
    </w:rPr>
  </w:style>
  <w:style w:type="paragraph" w:styleId="NormalWeb">
    <w:name w:val="Normal (Web)"/>
    <w:basedOn w:val="Normal"/>
    <w:uiPriority w:val="99"/>
    <w:semiHidden/>
    <w:unhideWhenUsed/>
    <w:rsid w:val="00770E3E"/>
    <w:pPr>
      <w:spacing w:before="100" w:beforeAutospacing="1" w:after="100" w:afterAutospacing="1"/>
    </w:pPr>
    <w:rPr>
      <w:rFonts w:ascii="Times New Roman" w:eastAsia="Times New Roman" w:hAnsi="Times New Roman" w:cs="Times New Roman"/>
    </w:rPr>
  </w:style>
  <w:style w:type="paragraph" w:customStyle="1" w:styleId="Default">
    <w:name w:val="Default"/>
    <w:rsid w:val="00CC3C6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49589">
      <w:bodyDiv w:val="1"/>
      <w:marLeft w:val="0"/>
      <w:marRight w:val="0"/>
      <w:marTop w:val="0"/>
      <w:marBottom w:val="0"/>
      <w:divBdr>
        <w:top w:val="none" w:sz="0" w:space="0" w:color="auto"/>
        <w:left w:val="none" w:sz="0" w:space="0" w:color="auto"/>
        <w:bottom w:val="none" w:sz="0" w:space="0" w:color="auto"/>
        <w:right w:val="none" w:sz="0" w:space="0" w:color="auto"/>
      </w:divBdr>
    </w:div>
    <w:div w:id="1642925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box.com/s/pydzlxj1ev1d2low2tvmpclv53e7lbth" TargetMode="External"/><Relationship Id="rId18" Type="http://schemas.openxmlformats.org/officeDocument/2006/relationships/hyperlink" Target="https://www.ezview.wa.gov/Portals/_1962/images/WREC/WRIA07/201907/WRIA07%20Hydrogeology%20for%20Streamflow%20Restoration_FINAL.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box.com/s/t7ghk6ws8kklnn6d6jalct9njb5y4nss" TargetMode="External"/><Relationship Id="rId17" Type="http://schemas.openxmlformats.org/officeDocument/2006/relationships/hyperlink" Target="https://fortress.wa.gov/ecy/publications/documents/1911079.pdf" TargetMode="External"/><Relationship Id="rId2" Type="http://schemas.openxmlformats.org/officeDocument/2006/relationships/customXml" Target="../customXml/item2.xml"/><Relationship Id="rId16" Type="http://schemas.openxmlformats.org/officeDocument/2006/relationships/hyperlink" Target="https://doodle.com/poll/ivqc8q4ztp7ybyp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box.com/s/vzcmuzx8gd4olsuhyxpl5suhvnl1bptc"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app.box.com/s/vdk678lgq8gfljzzixgigj69u940tu9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zview.wa.gov/site/alias__1962/37310/watershed_restoration_and_enhancement_-_wria_7.aspx" TargetMode="External"/><Relationship Id="rId14" Type="http://schemas.openxmlformats.org/officeDocument/2006/relationships/hyperlink" Target="https://appswr.ecology.wa.gov/docs/WaterRights/wrwebpdf/pol-20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7</WRIA>
    <Accessibility xmlns="81b753b0-5f84-4476-b087-97d9c3e0d4e3">Needs review</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170EB-A04F-4D69-88A5-4EB18BB405CA}">
  <ds:schemaRefs>
    <ds:schemaRef ds:uri="http://schemas.microsoft.com/office/2006/documentManagement/types"/>
    <ds:schemaRef ds:uri="81b753b0-5f84-4476-b087-97d9c3e0d4e3"/>
    <ds:schemaRef ds:uri="http://purl.org/dc/terms/"/>
    <ds:schemaRef ds:uri="http://schemas.openxmlformats.org/package/2006/metadata/core-properties"/>
    <ds:schemaRef ds:uri="http://purl.org/dc/dcmitype/"/>
    <ds:schemaRef ds:uri="fa9a4940-7a8b-4399-b0b9-597dee2fdc40"/>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7A1A33-4D25-46F1-BF1E-8D180A286AB3}">
  <ds:schemaRefs>
    <ds:schemaRef ds:uri="http://schemas.microsoft.com/sharepoint/v3/contenttype/forms"/>
  </ds:schemaRefs>
</ds:datastoreItem>
</file>

<file path=customXml/itemProps3.xml><?xml version="1.0" encoding="utf-8"?>
<ds:datastoreItem xmlns:ds="http://schemas.openxmlformats.org/officeDocument/2006/customXml" ds:itemID="{CB281C36-B2DE-4DAB-AC1C-178A2E6E1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Technical Workgroup Meeting Notes</vt:lpstr>
    </vt:vector>
  </TitlesOfParts>
  <Company>WA Department of Ecology</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Workgroup Meeting Notes</dc:title>
  <dc:subject/>
  <dc:creator>Microsoft Office User;ijon461@ECY.WA.GOV</dc:creator>
  <cp:keywords/>
  <dc:description/>
  <cp:lastModifiedBy>Drapeau, Andrew (ECY)</cp:lastModifiedBy>
  <cp:revision>2</cp:revision>
  <cp:lastPrinted>2020-01-23T16:05:00Z</cp:lastPrinted>
  <dcterms:created xsi:type="dcterms:W3CDTF">2020-02-07T19:57:00Z</dcterms:created>
  <dcterms:modified xsi:type="dcterms:W3CDTF">2020-02-07T19:57:00Z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