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B6443" w14:textId="5B813E93" w:rsidR="00312A3A" w:rsidRPr="00B40ACF" w:rsidRDefault="00312A3A" w:rsidP="000064FF">
      <w:pPr>
        <w:pStyle w:val="Heading1"/>
      </w:pPr>
      <w:r w:rsidRPr="00C51074">
        <w:rPr>
          <w:noProof/>
        </w:rPr>
        <w:drawing>
          <wp:anchor distT="0" distB="0" distL="114300" distR="114300" simplePos="0" relativeHeight="251658240" behindDoc="1" locked="0" layoutInCell="1" allowOverlap="1" wp14:anchorId="6F3B2665" wp14:editId="4B3CDC4A">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874C21">
        <w:t xml:space="preserve">OCTOBER </w:t>
      </w:r>
      <w:r w:rsidR="009A7A01">
        <w:t xml:space="preserve">2019 </w:t>
      </w:r>
      <w:r w:rsidR="00EA7454">
        <w:t>MEETING SUMMARY</w:t>
      </w:r>
    </w:p>
    <w:p w14:paraId="42F23ACD" w14:textId="77777777" w:rsidR="00FF7C94" w:rsidRPr="009E4424" w:rsidRDefault="0068654A" w:rsidP="0023301B">
      <w:pPr>
        <w:pStyle w:val="Sub-titlestyle"/>
        <w:ind w:firstLine="0"/>
        <w:rPr>
          <w:b/>
          <w:color w:val="44688F"/>
        </w:rPr>
      </w:pPr>
      <w:r>
        <w:rPr>
          <w:b/>
          <w:color w:val="44688F"/>
        </w:rPr>
        <w:t xml:space="preserve">Cedar-Sammamish (WRIA 8) </w:t>
      </w:r>
      <w:r>
        <w:rPr>
          <w:b/>
          <w:color w:val="44688F"/>
        </w:rPr>
        <w:br/>
        <w:t>Watershed Restoration and Enhancement Committee</w:t>
      </w:r>
    </w:p>
    <w:p w14:paraId="61C6A9DB" w14:textId="776406B9" w:rsidR="00312A3A" w:rsidRPr="00365E99" w:rsidRDefault="007A054F" w:rsidP="007A054F">
      <w:pPr>
        <w:pStyle w:val="Sub-titlestyle"/>
        <w:tabs>
          <w:tab w:val="left" w:pos="1710"/>
        </w:tabs>
        <w:ind w:firstLine="0"/>
        <w:rPr>
          <w:color w:val="44688F"/>
        </w:rPr>
      </w:pPr>
      <w:r>
        <w:rPr>
          <w:color w:val="44688F"/>
        </w:rPr>
        <w:tab/>
      </w:r>
      <w:r w:rsidR="00BB5547">
        <w:rPr>
          <w:color w:val="44688F"/>
        </w:rPr>
        <w:t>October 24</w:t>
      </w:r>
      <w:r w:rsidR="008556FD">
        <w:rPr>
          <w:color w:val="44688F"/>
        </w:rPr>
        <w:t xml:space="preserve">, 2019 </w:t>
      </w:r>
      <w:r w:rsidR="0068654A">
        <w:rPr>
          <w:color w:val="44688F"/>
        </w:rPr>
        <w:t>| 9:30 a.m.</w:t>
      </w:r>
      <w:r w:rsidR="00A20AB3">
        <w:rPr>
          <w:color w:val="44688F"/>
        </w:rPr>
        <w:t xml:space="preserve"> </w:t>
      </w:r>
      <w:r w:rsidR="0068654A">
        <w:rPr>
          <w:color w:val="44688F"/>
        </w:rPr>
        <w:t>- 12:30</w:t>
      </w:r>
      <w:r w:rsidRPr="009E4424">
        <w:rPr>
          <w:color w:val="44688F"/>
        </w:rPr>
        <w:t xml:space="preserve"> p.m.</w:t>
      </w:r>
      <w:r w:rsidR="0068654A">
        <w:rPr>
          <w:color w:val="44688F"/>
        </w:rPr>
        <w:t xml:space="preserve"> |</w:t>
      </w:r>
      <w:hyperlink r:id="rId12" w:history="1">
        <w:r w:rsidR="00A20AB3">
          <w:rPr>
            <w:rStyle w:val="Hyperlink"/>
          </w:rPr>
          <w:t>C</w:t>
        </w:r>
        <w:r w:rsidR="0068654A" w:rsidRPr="0068654A">
          <w:rPr>
            <w:rStyle w:val="Hyperlink"/>
          </w:rPr>
          <w:t>ommittee website</w:t>
        </w:r>
      </w:hyperlink>
    </w:p>
    <w:p w14:paraId="1D6F192B"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78DBD66D" wp14:editId="396F2859">
                <wp:simplePos x="0" y="0"/>
                <wp:positionH relativeFrom="page">
                  <wp:align>left</wp:align>
                </wp:positionH>
                <wp:positionV relativeFrom="paragraph">
                  <wp:posOffset>140970</wp:posOffset>
                </wp:positionV>
                <wp:extent cx="7753350" cy="8763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8763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6B690" id="Rectangle 2" o:spid="_x0000_s1026" alt="Title: Blue band - Description: decorative" style="position:absolute;margin-left:0;margin-top:11.1pt;width:610.5pt;height:6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" fillcolor="#44688f" stroked="f" strokeweight="1pt">
                <w10:wrap anchorx="page"/>
              </v:rect>
            </w:pict>
          </mc:Fallback>
        </mc:AlternateContent>
      </w:r>
    </w:p>
    <w:p w14:paraId="4A253B98"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16C202C" w14:textId="77777777" w:rsidR="0044453B" w:rsidRPr="00150AFC" w:rsidRDefault="007A36EA" w:rsidP="00B469AF">
      <w:pPr>
        <w:pStyle w:val="Mtginfo"/>
      </w:pPr>
      <w:r w:rsidRPr="00150AFC">
        <w:t>Location</w:t>
      </w:r>
    </w:p>
    <w:p w14:paraId="7C1AE550" w14:textId="77777777" w:rsidR="008556FD" w:rsidRPr="008556FD" w:rsidRDefault="008556FD" w:rsidP="008556FD">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Room 1AB, </w:t>
      </w:r>
      <w:r w:rsidRPr="008556FD">
        <w:rPr>
          <w:rFonts w:ascii="Franklin Gothic Book" w:hAnsi="Franklin Gothic Book"/>
          <w:color w:val="FFFFFF" w:themeColor="background1"/>
          <w:sz w:val="21"/>
          <w:szCs w:val="21"/>
        </w:rPr>
        <w:t>WA Dept. of Ecology</w:t>
      </w:r>
    </w:p>
    <w:p w14:paraId="2EDC2A25" w14:textId="77777777" w:rsidR="008556FD" w:rsidRPr="008556FD" w:rsidRDefault="008556FD" w:rsidP="008556FD">
      <w:pPr>
        <w:spacing w:after="0"/>
        <w:rPr>
          <w:rFonts w:ascii="Franklin Gothic Book" w:hAnsi="Franklin Gothic Book"/>
          <w:color w:val="FFFFFF" w:themeColor="background1"/>
          <w:sz w:val="21"/>
          <w:szCs w:val="21"/>
        </w:rPr>
      </w:pPr>
      <w:r w:rsidRPr="008556FD">
        <w:rPr>
          <w:rFonts w:ascii="Franklin Gothic Book" w:hAnsi="Franklin Gothic Book"/>
          <w:color w:val="FFFFFF" w:themeColor="background1"/>
          <w:sz w:val="21"/>
          <w:szCs w:val="21"/>
        </w:rPr>
        <w:t>Northwest Regional Office</w:t>
      </w:r>
    </w:p>
    <w:p w14:paraId="4F499F7D" w14:textId="77777777" w:rsidR="00FB469F" w:rsidRDefault="008556FD" w:rsidP="008556FD">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3190 160th Ave SE, </w:t>
      </w:r>
      <w:r w:rsidRPr="008556FD">
        <w:rPr>
          <w:rFonts w:ascii="Franklin Gothic Book" w:hAnsi="Franklin Gothic Book"/>
          <w:color w:val="FFFFFF" w:themeColor="background1"/>
          <w:sz w:val="21"/>
          <w:szCs w:val="21"/>
        </w:rPr>
        <w:t>Bellevue</w:t>
      </w:r>
    </w:p>
    <w:p w14:paraId="56785447" w14:textId="77777777" w:rsidR="00150AFC" w:rsidRPr="00FB469F" w:rsidRDefault="00EA70BA" w:rsidP="00B469AF">
      <w:pPr>
        <w:pStyle w:val="Mtginfo"/>
        <w:rPr>
          <w:rFonts w:ascii="Franklin Gothic Book" w:hAnsi="Franklin Gothic Book"/>
        </w:rPr>
      </w:pPr>
      <w:r>
        <w:rPr>
          <w:rFonts w:ascii="Franklin Gothic Book" w:hAnsi="Franklin Gothic Book"/>
        </w:rPr>
        <w:br w:type="column"/>
      </w:r>
      <w:r w:rsidR="00150AFC" w:rsidRPr="00EA70BA">
        <w:t>Committee Chair</w:t>
      </w:r>
    </w:p>
    <w:p w14:paraId="614607C6"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 Potts</w:t>
      </w:r>
    </w:p>
    <w:p w14:paraId="56A52AEB"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Stephanie.Potts@ecy.wa.gov</w:t>
      </w:r>
    </w:p>
    <w:p w14:paraId="196C5A1B" w14:textId="77777777" w:rsid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425-649-7138</w:t>
      </w:r>
    </w:p>
    <w:p w14:paraId="6CC98463" w14:textId="77777777" w:rsidR="00150AFC" w:rsidRPr="00150AFC" w:rsidRDefault="00EA70BA" w:rsidP="00B469AF">
      <w:pPr>
        <w:pStyle w:val="Mtginfo"/>
      </w:pPr>
      <w:r>
        <w:rPr>
          <w:rFonts w:ascii="Franklin Gothic Book" w:hAnsi="Franklin Gothic Book"/>
        </w:rPr>
        <w:br w:type="column"/>
      </w:r>
      <w:r w:rsidR="000E1812">
        <w:t>Next Meeting</w:t>
      </w:r>
    </w:p>
    <w:p w14:paraId="09E8CE38" w14:textId="32DFFF3F" w:rsidR="000E1812" w:rsidRDefault="00BB5547" w:rsidP="008556FD">
      <w:pPr>
        <w:spacing w:after="0"/>
        <w:ind w:left="180" w:hanging="18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December 10</w:t>
      </w:r>
      <w:r w:rsidR="008556FD">
        <w:rPr>
          <w:rFonts w:ascii="Franklin Gothic Book" w:hAnsi="Franklin Gothic Book"/>
          <w:color w:val="FFFFFF" w:themeColor="background1"/>
          <w:sz w:val="21"/>
          <w:szCs w:val="21"/>
        </w:rPr>
        <w:t>, 2019</w:t>
      </w:r>
    </w:p>
    <w:p w14:paraId="433BDE62" w14:textId="77777777" w:rsidR="000E1812" w:rsidRDefault="008556FD" w:rsidP="008556FD">
      <w:pPr>
        <w:spacing w:after="0"/>
        <w:ind w:left="180" w:hanging="18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9:30 a.m. – 12:30 p.m.</w:t>
      </w:r>
    </w:p>
    <w:p w14:paraId="6ACF3D9A" w14:textId="21FD873A" w:rsidR="00D60058" w:rsidRDefault="008556FD" w:rsidP="008556FD">
      <w:pPr>
        <w:spacing w:after="0"/>
        <w:ind w:left="180" w:hanging="180"/>
        <w:rPr>
          <w:rFonts w:ascii="Franklin Gothic Book" w:hAnsi="Franklin Gothic Book"/>
          <w:color w:val="FFFFFF" w:themeColor="background1"/>
          <w:sz w:val="21"/>
          <w:szCs w:val="21"/>
        </w:rPr>
        <w:sectPr w:rsidR="00D60058" w:rsidSect="008556FD">
          <w:type w:val="continuous"/>
          <w:pgSz w:w="12240" w:h="15840"/>
          <w:pgMar w:top="1080" w:right="1440" w:bottom="720" w:left="1440" w:header="720" w:footer="720" w:gutter="0"/>
          <w:cols w:num="3" w:space="360"/>
          <w:docGrid w:linePitch="360"/>
        </w:sectPr>
      </w:pPr>
      <w:r>
        <w:rPr>
          <w:rFonts w:ascii="Franklin Gothic Book" w:hAnsi="Franklin Gothic Book"/>
          <w:color w:val="FFFFFF" w:themeColor="background1"/>
          <w:sz w:val="21"/>
          <w:szCs w:val="21"/>
        </w:rPr>
        <w:t xml:space="preserve">Ecology </w:t>
      </w:r>
      <w:r w:rsidR="00BE1D13">
        <w:rPr>
          <w:rFonts w:ascii="Franklin Gothic Book" w:hAnsi="Franklin Gothic Book"/>
          <w:color w:val="FFFFFF" w:themeColor="background1"/>
          <w:sz w:val="21"/>
          <w:szCs w:val="21"/>
        </w:rPr>
        <w:t>NW</w:t>
      </w:r>
      <w:r>
        <w:rPr>
          <w:rFonts w:ascii="Franklin Gothic Book" w:hAnsi="Franklin Gothic Book"/>
          <w:color w:val="FFFFFF" w:themeColor="background1"/>
          <w:sz w:val="21"/>
          <w:szCs w:val="21"/>
        </w:rPr>
        <w:t xml:space="preserve"> Regional Office</w:t>
      </w:r>
    </w:p>
    <w:p w14:paraId="2B7B1B48" w14:textId="77777777" w:rsidR="00A20AB3" w:rsidRPr="00A20AB3" w:rsidRDefault="00A20AB3" w:rsidP="0068654A">
      <w:pPr>
        <w:pStyle w:val="Heading3"/>
        <w:rPr>
          <w:b/>
          <w:i/>
          <w:color w:val="auto"/>
          <w:sz w:val="4"/>
        </w:rPr>
      </w:pPr>
    </w:p>
    <w:p w14:paraId="2CD26702" w14:textId="3CD60CE3" w:rsidR="0068654A" w:rsidRPr="0068654A" w:rsidRDefault="0068654A" w:rsidP="0068654A">
      <w:pPr>
        <w:pStyle w:val="Heading3"/>
        <w:rPr>
          <w:b/>
          <w:i/>
          <w:color w:val="auto"/>
        </w:rPr>
      </w:pPr>
      <w:r w:rsidRPr="00940859">
        <w:rPr>
          <w:b/>
          <w:i/>
          <w:color w:val="auto"/>
          <w:highlight w:val="yellow"/>
        </w:rPr>
        <w:t>Please send corrections to Stephanie Potts (</w:t>
      </w:r>
      <w:r w:rsidR="00881631">
        <w:rPr>
          <w:b/>
          <w:i/>
          <w:color w:val="auto"/>
          <w:highlight w:val="yellow"/>
        </w:rPr>
        <w:t xml:space="preserve">Stephanie.Potts@ecy.wa.gov) by </w:t>
      </w:r>
      <w:r w:rsidR="00F17A3B">
        <w:rPr>
          <w:b/>
          <w:i/>
          <w:color w:val="auto"/>
          <w:highlight w:val="yellow"/>
        </w:rPr>
        <w:t>11/26/2019</w:t>
      </w:r>
      <w:r w:rsidRPr="00940859">
        <w:rPr>
          <w:b/>
          <w:i/>
          <w:color w:val="auto"/>
          <w:highlight w:val="yellow"/>
        </w:rPr>
        <w:t>.</w:t>
      </w:r>
    </w:p>
    <w:p w14:paraId="1EC68701" w14:textId="77777777" w:rsidR="00375B6A" w:rsidRDefault="00375B6A" w:rsidP="00365E99">
      <w:pPr>
        <w:pStyle w:val="Heading2"/>
      </w:pPr>
      <w:r>
        <w:t>Attendance</w:t>
      </w:r>
    </w:p>
    <w:p w14:paraId="4135EB95" w14:textId="77777777" w:rsidR="00D60058" w:rsidRPr="00164C1F" w:rsidRDefault="00D60058" w:rsidP="00A90A1B">
      <w:pPr>
        <w:pStyle w:val="Heading3"/>
      </w:pPr>
      <w:r w:rsidRPr="00164C1F">
        <w:t>Committee</w:t>
      </w:r>
      <w:r w:rsidR="00A20AB3">
        <w:t xml:space="preserve"> Representatives and Alternates</w:t>
      </w:r>
      <w:r>
        <w:t>*</w:t>
      </w:r>
    </w:p>
    <w:p w14:paraId="4C9B9223"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7422ED9" w14:textId="77777777" w:rsidR="005009B3" w:rsidRPr="000E6D71" w:rsidRDefault="005009B3" w:rsidP="005009B3">
      <w:pPr>
        <w:spacing w:after="0"/>
        <w:ind w:left="180" w:hanging="180"/>
      </w:pPr>
      <w:r w:rsidRPr="000E6D71">
        <w:t xml:space="preserve">John McClellan, </w:t>
      </w:r>
      <w:r w:rsidRPr="000E6D71">
        <w:rPr>
          <w:i/>
        </w:rPr>
        <w:t>Alderwood Water &amp; Wastewater District</w:t>
      </w:r>
    </w:p>
    <w:p w14:paraId="0F525A70" w14:textId="39F53889" w:rsidR="005009B3" w:rsidRPr="000E6D71" w:rsidRDefault="00AF2066" w:rsidP="005009B3">
      <w:pPr>
        <w:spacing w:after="0"/>
        <w:ind w:left="180" w:hanging="180"/>
        <w:rPr>
          <w:i/>
        </w:rPr>
      </w:pPr>
      <w:r w:rsidRPr="000E6D71">
        <w:t>Evan Swanson (alternate)</w:t>
      </w:r>
      <w:r w:rsidR="005009B3" w:rsidRPr="000E6D71">
        <w:t xml:space="preserve">, </w:t>
      </w:r>
      <w:r w:rsidR="005009B3" w:rsidRPr="000E6D71">
        <w:rPr>
          <w:i/>
        </w:rPr>
        <w:t>Kent</w:t>
      </w:r>
    </w:p>
    <w:p w14:paraId="0F86BC29" w14:textId="3A73D8AC" w:rsidR="00BB5547" w:rsidRPr="000E6D71" w:rsidRDefault="00BB5547" w:rsidP="005009B3">
      <w:pPr>
        <w:spacing w:after="0"/>
        <w:ind w:left="180" w:hanging="180"/>
        <w:rPr>
          <w:i/>
        </w:rPr>
      </w:pPr>
      <w:r w:rsidRPr="000E6D71">
        <w:t xml:space="preserve">Michele Koehler, </w:t>
      </w:r>
      <w:r w:rsidRPr="000E6D71">
        <w:rPr>
          <w:i/>
        </w:rPr>
        <w:t>Seattle</w:t>
      </w:r>
    </w:p>
    <w:p w14:paraId="51039F24" w14:textId="77777777" w:rsidR="008556FD" w:rsidRPr="000E6D71" w:rsidRDefault="008556FD" w:rsidP="005009B3">
      <w:pPr>
        <w:spacing w:after="0"/>
        <w:ind w:left="180" w:hanging="180"/>
        <w:rPr>
          <w:i/>
        </w:rPr>
      </w:pPr>
      <w:r w:rsidRPr="000E6D71">
        <w:t>Denise Di Santo,</w:t>
      </w:r>
      <w:r w:rsidRPr="000E6D71">
        <w:rPr>
          <w:i/>
        </w:rPr>
        <w:t xml:space="preserve"> King County</w:t>
      </w:r>
    </w:p>
    <w:p w14:paraId="12FD1720" w14:textId="77777777" w:rsidR="005009B3" w:rsidRPr="000E6D71" w:rsidRDefault="005009B3" w:rsidP="005009B3">
      <w:pPr>
        <w:spacing w:after="0"/>
        <w:ind w:left="180" w:hanging="180"/>
      </w:pPr>
      <w:r w:rsidRPr="000E6D71">
        <w:rPr>
          <w:rFonts w:asciiTheme="minorHAnsi" w:hAnsiTheme="minorHAnsi" w:cstheme="minorBidi"/>
        </w:rPr>
        <w:t>Rick Reinlasoder</w:t>
      </w:r>
      <w:r w:rsidRPr="000E6D71">
        <w:t xml:space="preserve">, </w:t>
      </w:r>
      <w:r w:rsidRPr="000E6D71">
        <w:rPr>
          <w:rFonts w:asciiTheme="minorHAnsi" w:hAnsiTheme="minorHAnsi" w:cstheme="minorBidi"/>
          <w:i/>
        </w:rPr>
        <w:t>King County Agriculture Program</w:t>
      </w:r>
    </w:p>
    <w:p w14:paraId="126CE172" w14:textId="7ECBDF26" w:rsidR="005009B3" w:rsidRPr="000E6D71" w:rsidRDefault="005009B3" w:rsidP="005009B3">
      <w:pPr>
        <w:spacing w:after="0"/>
        <w:ind w:left="180" w:hanging="180"/>
      </w:pPr>
      <w:r w:rsidRPr="000E6D71">
        <w:t xml:space="preserve">Carla Carlson, </w:t>
      </w:r>
      <w:r w:rsidRPr="000E6D71">
        <w:rPr>
          <w:rFonts w:asciiTheme="minorHAnsi" w:hAnsiTheme="minorHAnsi" w:cstheme="minorBidi"/>
          <w:i/>
        </w:rPr>
        <w:t>Muckleshoot Indian</w:t>
      </w:r>
      <w:r w:rsidRPr="000E6D71">
        <w:rPr>
          <w:rFonts w:asciiTheme="minorHAnsi" w:hAnsiTheme="minorHAnsi" w:cstheme="minorBidi"/>
        </w:rPr>
        <w:t xml:space="preserve"> </w:t>
      </w:r>
      <w:r w:rsidRPr="000E6D71">
        <w:rPr>
          <w:rFonts w:asciiTheme="minorHAnsi" w:hAnsiTheme="minorHAnsi" w:cstheme="minorBidi"/>
          <w:i/>
        </w:rPr>
        <w:t>Tribe</w:t>
      </w:r>
      <w:r w:rsidR="0066367A" w:rsidRPr="000E6D71">
        <w:rPr>
          <w:rFonts w:asciiTheme="minorHAnsi" w:hAnsiTheme="minorHAnsi" w:cstheme="minorBidi"/>
          <w:i/>
        </w:rPr>
        <w:t xml:space="preserve"> (phone)</w:t>
      </w:r>
    </w:p>
    <w:p w14:paraId="76119C71" w14:textId="77777777" w:rsidR="00FF3D2C" w:rsidRPr="000E6D71" w:rsidRDefault="00FF3D2C" w:rsidP="005009B3">
      <w:pPr>
        <w:spacing w:after="0"/>
        <w:ind w:left="180" w:hanging="180"/>
      </w:pPr>
      <w:r w:rsidRPr="000E6D71">
        <w:t xml:space="preserve">Terri Strandberg, </w:t>
      </w:r>
      <w:r w:rsidRPr="000E6D71">
        <w:rPr>
          <w:i/>
        </w:rPr>
        <w:t>Snohomish County</w:t>
      </w:r>
    </w:p>
    <w:p w14:paraId="7B56820D" w14:textId="77777777" w:rsidR="005009B3" w:rsidRPr="000E6D71" w:rsidRDefault="005009B3" w:rsidP="005009B3">
      <w:pPr>
        <w:spacing w:after="0"/>
        <w:ind w:left="180" w:hanging="180"/>
        <w:rPr>
          <w:i/>
        </w:rPr>
      </w:pPr>
      <w:r w:rsidRPr="000E6D71">
        <w:rPr>
          <w:rFonts w:asciiTheme="minorHAnsi" w:hAnsiTheme="minorHAnsi" w:cstheme="minorBidi"/>
        </w:rPr>
        <w:t>Julie Lewis</w:t>
      </w:r>
      <w:r w:rsidRPr="000E6D71">
        <w:t xml:space="preserve"> (alternate), </w:t>
      </w:r>
      <w:r w:rsidRPr="000E6D71">
        <w:rPr>
          <w:rFonts w:asciiTheme="minorHAnsi" w:hAnsiTheme="minorHAnsi" w:cstheme="minorBidi"/>
          <w:i/>
        </w:rPr>
        <w:t>Snoqualmie Indian Tribe</w:t>
      </w:r>
    </w:p>
    <w:p w14:paraId="40C825F5" w14:textId="1D6D0C78" w:rsidR="005009B3" w:rsidRPr="000E6D71" w:rsidRDefault="00BB5547" w:rsidP="005009B3">
      <w:pPr>
        <w:spacing w:after="0"/>
        <w:ind w:left="180" w:hanging="180"/>
      </w:pPr>
      <w:r w:rsidRPr="000E6D71">
        <w:t>Ann Savery (</w:t>
      </w:r>
      <w:r w:rsidR="0066367A" w:rsidRPr="000E6D71">
        <w:t>alternate</w:t>
      </w:r>
      <w:r w:rsidRPr="000E6D71">
        <w:t>)</w:t>
      </w:r>
      <w:r w:rsidR="005009B3" w:rsidRPr="000E6D71">
        <w:t xml:space="preserve">, </w:t>
      </w:r>
      <w:r w:rsidR="005009B3" w:rsidRPr="000E6D71">
        <w:rPr>
          <w:i/>
        </w:rPr>
        <w:t>Tulalip Tribes</w:t>
      </w:r>
      <w:r w:rsidR="0066367A" w:rsidRPr="000E6D71">
        <w:rPr>
          <w:i/>
        </w:rPr>
        <w:t xml:space="preserve"> (phone)</w:t>
      </w:r>
    </w:p>
    <w:p w14:paraId="5964FDF2" w14:textId="77777777" w:rsidR="005009B3" w:rsidRPr="000E6D71" w:rsidRDefault="005009B3" w:rsidP="005009B3">
      <w:pPr>
        <w:spacing w:after="0"/>
        <w:ind w:left="180" w:hanging="180"/>
      </w:pPr>
      <w:r w:rsidRPr="000E6D71">
        <w:t xml:space="preserve">Stewart Reinbold, </w:t>
      </w:r>
      <w:r w:rsidRPr="000E6D71">
        <w:rPr>
          <w:i/>
        </w:rPr>
        <w:t>Washington Department of Fish and Wildlife</w:t>
      </w:r>
    </w:p>
    <w:p w14:paraId="126F13DE" w14:textId="77777777" w:rsidR="005009B3" w:rsidRPr="000E6D71" w:rsidRDefault="005009B3" w:rsidP="005009B3">
      <w:pPr>
        <w:spacing w:after="0"/>
        <w:ind w:left="180" w:hanging="180"/>
      </w:pPr>
      <w:r w:rsidRPr="000E6D71">
        <w:t xml:space="preserve">Stephanie Potts (chair), </w:t>
      </w:r>
      <w:r w:rsidRPr="000E6D71">
        <w:rPr>
          <w:i/>
        </w:rPr>
        <w:t>Washington State Department of Ecology</w:t>
      </w:r>
    </w:p>
    <w:p w14:paraId="4A59F527" w14:textId="1AEEB3EB" w:rsidR="005009B3" w:rsidRPr="000E6D71" w:rsidRDefault="00BB5547" w:rsidP="005009B3">
      <w:pPr>
        <w:spacing w:after="0"/>
        <w:ind w:left="180" w:hanging="180"/>
        <w:rPr>
          <w:rFonts w:asciiTheme="minorHAnsi" w:hAnsiTheme="minorHAnsi" w:cstheme="minorBidi"/>
          <w:i/>
        </w:rPr>
      </w:pPr>
      <w:r w:rsidRPr="000E6D71">
        <w:t>Stacy Vynne McKinstry</w:t>
      </w:r>
      <w:r w:rsidR="005009B3" w:rsidRPr="000E6D71">
        <w:t xml:space="preserve"> (alternate), </w:t>
      </w:r>
      <w:r w:rsidR="005009B3" w:rsidRPr="000E6D71">
        <w:rPr>
          <w:rFonts w:asciiTheme="minorHAnsi" w:hAnsiTheme="minorHAnsi" w:cstheme="minorBidi"/>
          <w:i/>
        </w:rPr>
        <w:t>Washington State Department of Ecology</w:t>
      </w:r>
    </w:p>
    <w:p w14:paraId="63D430DB" w14:textId="21ADE525" w:rsidR="00BB5547" w:rsidRPr="000E6D71" w:rsidRDefault="00BB5547" w:rsidP="005009B3">
      <w:pPr>
        <w:spacing w:after="0"/>
        <w:ind w:left="180" w:hanging="180"/>
        <w:rPr>
          <w:rFonts w:asciiTheme="minorHAnsi" w:hAnsiTheme="minorHAnsi" w:cstheme="minorBidi"/>
          <w:i/>
        </w:rPr>
      </w:pPr>
      <w:r w:rsidRPr="000E6D71">
        <w:rPr>
          <w:rFonts w:asciiTheme="minorHAnsi" w:hAnsiTheme="minorHAnsi" w:cstheme="minorBidi"/>
        </w:rPr>
        <w:t xml:space="preserve">Trish Rolfe, </w:t>
      </w:r>
      <w:r w:rsidRPr="000E6D71">
        <w:rPr>
          <w:i/>
        </w:rPr>
        <w:t>Center for Environmental Law and Policy</w:t>
      </w:r>
      <w:r w:rsidRPr="000E6D71">
        <w:rPr>
          <w:rFonts w:asciiTheme="minorHAnsi" w:hAnsiTheme="minorHAnsi" w:cstheme="minorBidi"/>
          <w:i/>
        </w:rPr>
        <w:t xml:space="preserve"> </w:t>
      </w:r>
    </w:p>
    <w:p w14:paraId="557C66A8" w14:textId="77777777" w:rsidR="00BB5547" w:rsidRPr="000E6D71" w:rsidRDefault="00BB5547" w:rsidP="00BB5547">
      <w:pPr>
        <w:spacing w:after="0"/>
        <w:ind w:left="180" w:hanging="180"/>
      </w:pPr>
      <w:r w:rsidRPr="000E6D71">
        <w:rPr>
          <w:rFonts w:asciiTheme="minorHAnsi" w:hAnsiTheme="minorHAnsi" w:cstheme="minorBidi"/>
        </w:rPr>
        <w:t xml:space="preserve">Gina Clark, </w:t>
      </w:r>
      <w:r w:rsidRPr="000E6D71">
        <w:rPr>
          <w:i/>
        </w:rPr>
        <w:t>Master Builders Association of King and Snohomish Counties</w:t>
      </w:r>
    </w:p>
    <w:p w14:paraId="781EBA46" w14:textId="77777777" w:rsidR="005009B3" w:rsidRPr="000E6D71" w:rsidRDefault="005009B3" w:rsidP="005009B3">
      <w:pPr>
        <w:spacing w:after="0"/>
        <w:ind w:left="180" w:hanging="180"/>
      </w:pPr>
      <w:r w:rsidRPr="000E6D71">
        <w:t xml:space="preserve">Jason Wilkinson (cities caucus rep), </w:t>
      </w:r>
      <w:r w:rsidRPr="000E6D71">
        <w:rPr>
          <w:i/>
        </w:rPr>
        <w:t>WRIA 8 Salmon Recovery Council, ex officio</w:t>
      </w:r>
    </w:p>
    <w:p w14:paraId="4DDCF8DA" w14:textId="77777777" w:rsidR="00EA7454" w:rsidRPr="00AF2066" w:rsidRDefault="00EA7454" w:rsidP="005009B3">
      <w:pPr>
        <w:spacing w:after="0"/>
        <w:ind w:left="180" w:hanging="180"/>
        <w:sectPr w:rsidR="00EA7454" w:rsidRPr="00AF2066" w:rsidSect="00E64E5E">
          <w:type w:val="continuous"/>
          <w:pgSz w:w="12240" w:h="15840"/>
          <w:pgMar w:top="1080" w:right="1440" w:bottom="720" w:left="1440" w:header="720" w:footer="720" w:gutter="0"/>
          <w:cols w:num="2" w:space="720"/>
          <w:docGrid w:linePitch="360"/>
        </w:sectPr>
      </w:pPr>
    </w:p>
    <w:p w14:paraId="3143B2EA" w14:textId="77777777" w:rsidR="00A20AB3" w:rsidRPr="00AF2066" w:rsidRDefault="00A20AB3" w:rsidP="002D2B85">
      <w:pPr>
        <w:spacing w:after="0"/>
        <w:rPr>
          <w:rFonts w:asciiTheme="majorHAnsi" w:hAnsiTheme="majorHAnsi"/>
        </w:rPr>
      </w:pPr>
    </w:p>
    <w:p w14:paraId="0D338E2F" w14:textId="77777777" w:rsidR="00A20AB3" w:rsidRPr="00AF2066" w:rsidRDefault="00A20AB3" w:rsidP="002D2B85">
      <w:pPr>
        <w:spacing w:after="0"/>
        <w:rPr>
          <w:rFonts w:asciiTheme="majorHAnsi" w:hAnsiTheme="majorHAnsi"/>
        </w:rPr>
      </w:pPr>
      <w:r w:rsidRPr="00AF2066">
        <w:rPr>
          <w:rFonts w:asciiTheme="majorHAnsi" w:hAnsiTheme="majorHAnsi"/>
        </w:rPr>
        <w:t>Cities caucus members: Bellevue, Bothell, Issaquah, Kenmore, Mukilteo, Redmond, and Sammamish</w:t>
      </w:r>
    </w:p>
    <w:p w14:paraId="0DE24604" w14:textId="77777777" w:rsidR="00E64E5E" w:rsidRPr="00AF2066" w:rsidRDefault="00D60058" w:rsidP="00A90A1B">
      <w:pPr>
        <w:pStyle w:val="Heading3"/>
        <w:spacing w:before="360"/>
      </w:pPr>
      <w:r w:rsidRPr="00AF2066">
        <w:t xml:space="preserve">Committee </w:t>
      </w:r>
      <w:r w:rsidR="00A20AB3" w:rsidRPr="00AF2066">
        <w:t>Members Not in Attendance</w:t>
      </w:r>
      <w:r w:rsidRPr="00AF2066">
        <w:t>*</w:t>
      </w:r>
    </w:p>
    <w:p w14:paraId="3CA4CFFC" w14:textId="77777777" w:rsidR="00E64E5E" w:rsidRPr="00AF2066" w:rsidRDefault="00E64E5E" w:rsidP="00E64E5E">
      <w:pPr>
        <w:sectPr w:rsidR="00E64E5E" w:rsidRPr="00AF2066" w:rsidSect="00D60058">
          <w:type w:val="continuous"/>
          <w:pgSz w:w="12240" w:h="15840"/>
          <w:pgMar w:top="1080" w:right="1440" w:bottom="720" w:left="1440" w:header="720" w:footer="720" w:gutter="0"/>
          <w:cols w:space="720"/>
          <w:docGrid w:linePitch="360"/>
        </w:sectPr>
      </w:pPr>
    </w:p>
    <w:p w14:paraId="105CDB3B" w14:textId="77777777" w:rsidR="006A625C" w:rsidRPr="00AF2066" w:rsidRDefault="006A625C" w:rsidP="00A90A1B">
      <w:pPr>
        <w:pStyle w:val="Heading3"/>
        <w:spacing w:before="240"/>
      </w:pPr>
      <w:r w:rsidRPr="00AF2066">
        <w:t>Other Attendees</w:t>
      </w:r>
    </w:p>
    <w:p w14:paraId="555313B0" w14:textId="77777777" w:rsidR="00E64E5E" w:rsidRPr="00AF2066" w:rsidRDefault="00E64E5E" w:rsidP="00E64E5E">
      <w:pPr>
        <w:sectPr w:rsidR="00E64E5E" w:rsidRPr="00AF2066" w:rsidSect="00D60058">
          <w:type w:val="continuous"/>
          <w:pgSz w:w="12240" w:h="15840"/>
          <w:pgMar w:top="1080" w:right="1440" w:bottom="720" w:left="1440" w:header="720" w:footer="720" w:gutter="0"/>
          <w:cols w:space="720"/>
          <w:docGrid w:linePitch="360"/>
        </w:sectPr>
      </w:pPr>
    </w:p>
    <w:p w14:paraId="4DEF72E7" w14:textId="5E984B4B" w:rsidR="00AF2066" w:rsidRDefault="00AF2066" w:rsidP="002D2B85">
      <w:pPr>
        <w:spacing w:after="0"/>
        <w:ind w:left="180" w:hanging="180"/>
        <w:rPr>
          <w:i/>
        </w:rPr>
      </w:pPr>
      <w:r w:rsidRPr="00AF2066">
        <w:t xml:space="preserve">Elisa Dawson, </w:t>
      </w:r>
      <w:r w:rsidRPr="00AF2066">
        <w:rPr>
          <w:i/>
        </w:rPr>
        <w:t>Snohomish County</w:t>
      </w:r>
    </w:p>
    <w:p w14:paraId="138D6B11" w14:textId="4EE7DEF1" w:rsidR="00BB5547" w:rsidRPr="00BB5547" w:rsidRDefault="00BB5547" w:rsidP="002D2B85">
      <w:pPr>
        <w:spacing w:after="0"/>
        <w:ind w:left="180" w:hanging="180"/>
      </w:pPr>
      <w:r>
        <w:t xml:space="preserve">Joe Hovenkotter, </w:t>
      </w:r>
      <w:r w:rsidR="0066367A">
        <w:rPr>
          <w:i/>
        </w:rPr>
        <w:t>King County</w:t>
      </w:r>
    </w:p>
    <w:p w14:paraId="621F8BA6" w14:textId="77777777" w:rsidR="00BB5547" w:rsidRPr="00AF2066" w:rsidRDefault="00BB5547" w:rsidP="00BB5547">
      <w:pPr>
        <w:spacing w:after="0"/>
        <w:ind w:left="180" w:hanging="180"/>
        <w:rPr>
          <w:i/>
        </w:rPr>
      </w:pPr>
      <w:r w:rsidRPr="00AF2066">
        <w:t xml:space="preserve">Eric Ferguson, </w:t>
      </w:r>
      <w:r w:rsidRPr="00AF2066">
        <w:rPr>
          <w:i/>
        </w:rPr>
        <w:t>King County</w:t>
      </w:r>
    </w:p>
    <w:p w14:paraId="70731912" w14:textId="6151F835" w:rsidR="00AF2066" w:rsidRPr="00AF2066" w:rsidRDefault="00AF2066" w:rsidP="002D2B85">
      <w:pPr>
        <w:spacing w:after="0"/>
        <w:ind w:left="180" w:hanging="180"/>
        <w:rPr>
          <w:i/>
        </w:rPr>
      </w:pPr>
      <w:r w:rsidRPr="00AF2066">
        <w:t xml:space="preserve">Paulina Levy, </w:t>
      </w:r>
      <w:r w:rsidRPr="00AF2066">
        <w:rPr>
          <w:i/>
        </w:rPr>
        <w:t>Department of Ecology</w:t>
      </w:r>
    </w:p>
    <w:p w14:paraId="6F273C0C" w14:textId="0ADCA696" w:rsidR="00A20AB3" w:rsidRPr="00AF2066" w:rsidRDefault="00A20AB3" w:rsidP="002D2B85">
      <w:pPr>
        <w:spacing w:after="0"/>
        <w:ind w:left="180" w:hanging="180"/>
        <w:rPr>
          <w:i/>
        </w:rPr>
      </w:pPr>
      <w:r w:rsidRPr="00AF2066">
        <w:t xml:space="preserve">Gretchen Muller (facilitator), </w:t>
      </w:r>
      <w:r w:rsidRPr="00AF2066">
        <w:rPr>
          <w:i/>
        </w:rPr>
        <w:t>Cascadia Consulting Group</w:t>
      </w:r>
    </w:p>
    <w:p w14:paraId="46E93396" w14:textId="1B65B245" w:rsidR="008556FD" w:rsidRDefault="00C0032B" w:rsidP="00BB5547">
      <w:pPr>
        <w:spacing w:after="0"/>
        <w:ind w:left="180" w:hanging="180"/>
        <w:rPr>
          <w:i/>
        </w:rPr>
      </w:pPr>
      <w:r w:rsidRPr="00AF2066">
        <w:t xml:space="preserve">Caroline Burney (information manager), </w:t>
      </w:r>
      <w:r w:rsidRPr="00AF2066">
        <w:rPr>
          <w:i/>
        </w:rPr>
        <w:t>Cascadia Consulting Group</w:t>
      </w:r>
    </w:p>
    <w:p w14:paraId="2774B0B9" w14:textId="1082E39B" w:rsidR="00BB5547" w:rsidRPr="00BB5547" w:rsidRDefault="00BB5547" w:rsidP="00BB5547">
      <w:pPr>
        <w:spacing w:after="0"/>
        <w:ind w:left="180" w:hanging="180"/>
        <w:rPr>
          <w:rStyle w:val="Heading2Char"/>
          <w:rFonts w:ascii="Calibri" w:eastAsiaTheme="minorHAnsi" w:hAnsi="Calibri" w:cs="Times New Roman"/>
          <w:b w:val="0"/>
          <w:i/>
          <w:color w:val="auto"/>
          <w:sz w:val="22"/>
          <w:szCs w:val="22"/>
        </w:rPr>
      </w:pPr>
      <w:r>
        <w:t>Cynthia Carlstad</w:t>
      </w:r>
      <w:r w:rsidR="0066367A">
        <w:t xml:space="preserve"> (technical consultant)</w:t>
      </w:r>
      <w:r>
        <w:t xml:space="preserve">, </w:t>
      </w:r>
      <w:r>
        <w:rPr>
          <w:i/>
        </w:rPr>
        <w:t>NHC</w:t>
      </w:r>
    </w:p>
    <w:p w14:paraId="3C49CD70" w14:textId="77777777" w:rsidR="00BB5547" w:rsidRDefault="00BB5547" w:rsidP="00E64E5E">
      <w:pPr>
        <w:rPr>
          <w:rStyle w:val="Heading2Char"/>
          <w:sz w:val="22"/>
          <w:szCs w:val="22"/>
        </w:rPr>
        <w:sectPr w:rsidR="00BB5547" w:rsidSect="00E64E5E">
          <w:type w:val="continuous"/>
          <w:pgSz w:w="12240" w:h="15840"/>
          <w:pgMar w:top="1080" w:right="1440" w:bottom="720" w:left="1440" w:header="720" w:footer="720" w:gutter="0"/>
          <w:cols w:num="2" w:space="720"/>
          <w:docGrid w:linePitch="360"/>
        </w:sectPr>
      </w:pPr>
    </w:p>
    <w:p w14:paraId="0C23F790" w14:textId="77777777" w:rsidR="0006498F" w:rsidRDefault="0006498F" w:rsidP="00A600D1">
      <w:pPr>
        <w:spacing w:after="0"/>
        <w:rPr>
          <w:rFonts w:asciiTheme="majorHAnsi" w:hAnsiTheme="majorHAnsi"/>
        </w:rPr>
      </w:pPr>
    </w:p>
    <w:p w14:paraId="18D9AC8E" w14:textId="7C3158AE" w:rsidR="006A625C" w:rsidRPr="00F16F7A" w:rsidRDefault="006A625C" w:rsidP="00A600D1">
      <w:pPr>
        <w:spacing w:after="0"/>
        <w:rPr>
          <w:rFonts w:asciiTheme="majorHAnsi" w:hAnsiTheme="majorHAnsi"/>
        </w:rPr>
      </w:pPr>
      <w:r w:rsidRPr="00F16F7A">
        <w:rPr>
          <w:rFonts w:asciiTheme="majorHAnsi" w:hAnsiTheme="majorHAnsi"/>
        </w:rPr>
        <w:t>*Attendees list is based on sign-in sheet.</w:t>
      </w:r>
    </w:p>
    <w:p w14:paraId="71BD8871" w14:textId="77777777" w:rsidR="00300A18" w:rsidRPr="00C15B46" w:rsidRDefault="004A4C34" w:rsidP="00A90A1B">
      <w:pPr>
        <w:pStyle w:val="Heading2"/>
        <w:rPr>
          <w:bCs/>
          <w:color w:val="1F497D"/>
        </w:rPr>
      </w:pPr>
      <w:r>
        <w:t>Standing</w:t>
      </w:r>
      <w:r w:rsidR="00C0032B">
        <w:t xml:space="preserve"> Business</w:t>
      </w:r>
    </w:p>
    <w:p w14:paraId="0F28547C" w14:textId="77777777" w:rsidR="003866F3" w:rsidRDefault="00C0032B" w:rsidP="0074228D">
      <w:pPr>
        <w:rPr>
          <w:i/>
        </w:rPr>
      </w:pPr>
      <w:r>
        <w:t>Facilitator</w:t>
      </w:r>
      <w:r w:rsidR="0074228D">
        <w:t xml:space="preserve"> reviewed the agenda.</w:t>
      </w:r>
      <w:r>
        <w:t xml:space="preserve"> </w:t>
      </w:r>
      <w:r w:rsidR="00795A07" w:rsidRPr="0074228D">
        <w:rPr>
          <w:i/>
        </w:rPr>
        <w:t>No revisions to</w:t>
      </w:r>
      <w:r w:rsidR="003866F3" w:rsidRPr="0074228D">
        <w:rPr>
          <w:i/>
        </w:rPr>
        <w:t xml:space="preserve"> the agenda</w:t>
      </w:r>
      <w:r w:rsidR="00795A07" w:rsidRPr="0074228D">
        <w:rPr>
          <w:i/>
        </w:rPr>
        <w:t>.</w:t>
      </w:r>
    </w:p>
    <w:p w14:paraId="193DCF39" w14:textId="6275027A" w:rsidR="004A4C34" w:rsidRPr="004A4C34" w:rsidRDefault="004A4C34" w:rsidP="00C0032B">
      <w:pPr>
        <w:pStyle w:val="Normal1style"/>
        <w:spacing w:before="240"/>
        <w:rPr>
          <w:bCs/>
          <w:color w:val="000000" w:themeColor="text1"/>
        </w:rPr>
      </w:pPr>
      <w:r w:rsidRPr="004A4C34">
        <w:rPr>
          <w:bCs/>
          <w:color w:val="000000" w:themeColor="text1"/>
        </w:rPr>
        <w:t xml:space="preserve">Chair did not receive comments on the meeting summary. The Committee voted to approve the </w:t>
      </w:r>
      <w:r w:rsidR="00BB5547">
        <w:rPr>
          <w:bCs/>
          <w:color w:val="000000" w:themeColor="text1"/>
        </w:rPr>
        <w:t>September</w:t>
      </w:r>
      <w:r w:rsidRPr="004A4C34">
        <w:rPr>
          <w:bCs/>
          <w:color w:val="000000" w:themeColor="text1"/>
        </w:rPr>
        <w:t xml:space="preserve"> WRIA 8 WREC meeting summary, with the cities caucus rep abstaining. The final version will be posted on the Committee website.</w:t>
      </w:r>
    </w:p>
    <w:p w14:paraId="73437DB1" w14:textId="77777777" w:rsidR="00B57ACF" w:rsidRPr="00795A07" w:rsidRDefault="00FB469F" w:rsidP="00A90A1B">
      <w:pPr>
        <w:pStyle w:val="Heading2"/>
      </w:pPr>
      <w:r w:rsidRPr="00795A07">
        <w:lastRenderedPageBreak/>
        <w:t>Updates and Announcements</w:t>
      </w:r>
    </w:p>
    <w:p w14:paraId="7F39F425" w14:textId="77777777" w:rsidR="000E1C4A" w:rsidRDefault="00EA7454" w:rsidP="00527958">
      <w:r>
        <w:t>Chair</w:t>
      </w:r>
      <w:r w:rsidR="00795A07">
        <w:t xml:space="preserve"> provided updates from Ecology.</w:t>
      </w:r>
    </w:p>
    <w:p w14:paraId="720F1A10" w14:textId="457EA9FE" w:rsidR="000E6D71" w:rsidRDefault="000E6D71" w:rsidP="000E6D71">
      <w:pPr>
        <w:pStyle w:val="Bullets"/>
      </w:pPr>
      <w:r>
        <w:t xml:space="preserve">Box: Committee representatives and alternates received an invitation to the </w:t>
      </w:r>
      <w:hyperlink r:id="rId15" w:history="1">
        <w:r w:rsidR="009A7A01">
          <w:rPr>
            <w:rStyle w:val="Hyperlink"/>
          </w:rPr>
          <w:t>WRIA 8 WREC folder</w:t>
        </w:r>
      </w:hyperlink>
      <w:r>
        <w:t xml:space="preserve"> on box.com. Box is a new tool that Ecology and the technical consultant team will use to share files. Everyone currently has the ability to view and download. Stephanie can set up folders for uploading materials and allow editing for specific files as well. Let Stephanie know if you have problems accessing the box folder.</w:t>
      </w:r>
    </w:p>
    <w:p w14:paraId="4867D4DE" w14:textId="6AF0AA13" w:rsidR="000E6D71" w:rsidRDefault="000E6D71" w:rsidP="000E6D71">
      <w:pPr>
        <w:pStyle w:val="Bullets"/>
      </w:pPr>
      <w:r>
        <w:t xml:space="preserve">Streamflow Restoration Competitive Grant guidance: The guidance for the 2020 grant round was released on October 23 and is posted on the </w:t>
      </w:r>
      <w:hyperlink r:id="rId16" w:history="1">
        <w:r w:rsidRPr="00A75385">
          <w:rPr>
            <w:rStyle w:val="Hyperlink"/>
          </w:rPr>
          <w:t>Ecology Streamflow Restoration Competitive Grants webpage</w:t>
        </w:r>
      </w:hyperlink>
      <w:r>
        <w:t xml:space="preserve">. Ecology is holding applicant workshops across the state. The closest workshop for WRIA 8 is </w:t>
      </w:r>
      <w:hyperlink r:id="rId17" w:history="1">
        <w:r w:rsidRPr="00A75385">
          <w:rPr>
            <w:rStyle w:val="Hyperlink"/>
          </w:rPr>
          <w:t>in Bellevue on November 13</w:t>
        </w:r>
      </w:hyperlink>
      <w:r>
        <w:t>. Ecology will have an online applicant workshop in January.</w:t>
      </w:r>
    </w:p>
    <w:p w14:paraId="525E28A1" w14:textId="6E21DEBC" w:rsidR="000E6D71" w:rsidRDefault="000E6D71" w:rsidP="000E6D71">
      <w:pPr>
        <w:pStyle w:val="Bullets"/>
      </w:pPr>
      <w:r>
        <w:t xml:space="preserve">Technical Workgroup: The workgroup met October </w:t>
      </w:r>
      <w:r w:rsidR="008808EC">
        <w:t>21</w:t>
      </w:r>
      <w:r>
        <w:t xml:space="preserve"> and discussed the consumptive use estimate, consumptive use calculator, and project selection criteria. </w:t>
      </w:r>
      <w:r w:rsidR="008808EC">
        <w:t>Julie Lewis</w:t>
      </w:r>
      <w:r>
        <w:t xml:space="preserve"> provided a </w:t>
      </w:r>
      <w:r w:rsidR="009172BA">
        <w:t>summary of the discussion during</w:t>
      </w:r>
      <w:r>
        <w:t xml:space="preserve"> the WREC meeting. Workgroup meetings notes are posted in </w:t>
      </w:r>
      <w:hyperlink r:id="rId18" w:history="1">
        <w:r w:rsidRPr="00150DAF">
          <w:rPr>
            <w:rStyle w:val="Hyperlink"/>
          </w:rPr>
          <w:t xml:space="preserve">the </w:t>
        </w:r>
        <w:r>
          <w:rPr>
            <w:rStyle w:val="Hyperlink"/>
          </w:rPr>
          <w:t xml:space="preserve">technical </w:t>
        </w:r>
        <w:r w:rsidRPr="00150DAF">
          <w:rPr>
            <w:rStyle w:val="Hyperlink"/>
          </w:rPr>
          <w:t>workgroup folder on box.com</w:t>
        </w:r>
      </w:hyperlink>
      <w:r>
        <w:t>. Contact Stephanie if you would like to receive information on upcoming technical workgroup meetings.</w:t>
      </w:r>
    </w:p>
    <w:p w14:paraId="01499C7B" w14:textId="39328EFB" w:rsidR="000E6D71" w:rsidRPr="00C84D36" w:rsidRDefault="000E6D71" w:rsidP="000E6D71">
      <w:pPr>
        <w:pStyle w:val="Bullets"/>
      </w:pPr>
      <w:r>
        <w:t xml:space="preserve">Technical Memos: Distributed draft technical memos for growth projections and consumptive use. These </w:t>
      </w:r>
      <w:r w:rsidRPr="00C84D36">
        <w:t>will be included in the appendix to the watershed restoration and enhancement plan. Please review them and send Stephanie comments by 11/</w:t>
      </w:r>
      <w:r w:rsidR="008808EC">
        <w:t>12</w:t>
      </w:r>
      <w:r w:rsidRPr="00C84D36">
        <w:t xml:space="preserve">. </w:t>
      </w:r>
    </w:p>
    <w:p w14:paraId="2C9FBDF1" w14:textId="06F312EF" w:rsidR="000E6D71" w:rsidRDefault="000E6D71" w:rsidP="008808EC">
      <w:pPr>
        <w:pStyle w:val="Bullets"/>
      </w:pPr>
      <w:r w:rsidRPr="00C84D36">
        <w:t>2020 Meeting Schedule:</w:t>
      </w:r>
      <w:r w:rsidR="008808EC">
        <w:t xml:space="preserve"> The WRIA 8</w:t>
      </w:r>
      <w:r w:rsidRPr="00C84D36">
        <w:t xml:space="preserve"> WREC will start meeting every other month in 2020. The technical workgroup will meet the fourth </w:t>
      </w:r>
      <w:r w:rsidR="008A354B">
        <w:t>Thursday</w:t>
      </w:r>
      <w:r w:rsidRPr="00C84D36">
        <w:t xml:space="preserve"> of the month between WREC meetings. Stephanie will distribute a schedule at</w:t>
      </w:r>
      <w:r>
        <w:t xml:space="preserve"> the </w:t>
      </w:r>
      <w:r w:rsidR="008A354B">
        <w:t>December WREC</w:t>
      </w:r>
      <w:r>
        <w:t xml:space="preserve"> meeting.</w:t>
      </w:r>
    </w:p>
    <w:p w14:paraId="2D941BFF" w14:textId="77777777" w:rsidR="000E6D71" w:rsidRDefault="000E6D71" w:rsidP="000E6D71">
      <w:pPr>
        <w:pStyle w:val="Bullets"/>
        <w:numPr>
          <w:ilvl w:val="0"/>
          <w:numId w:val="0"/>
        </w:numPr>
        <w:ind w:left="360" w:hanging="360"/>
      </w:pPr>
    </w:p>
    <w:p w14:paraId="1E7FFF0D" w14:textId="438ADC13" w:rsidR="004428E7" w:rsidRDefault="008808EC" w:rsidP="008808EC">
      <w:r>
        <w:t>Committee member</w:t>
      </w:r>
      <w:r w:rsidR="004428E7">
        <w:t xml:space="preserve"> updates</w:t>
      </w:r>
    </w:p>
    <w:p w14:paraId="1E1418CD" w14:textId="64BA7D25" w:rsidR="004428E7" w:rsidRPr="008808EC" w:rsidRDefault="00A260A6" w:rsidP="008808EC">
      <w:pPr>
        <w:pStyle w:val="Bullets"/>
      </w:pPr>
      <w:r w:rsidRPr="008808EC">
        <w:t>Gina Clark, MBA</w:t>
      </w:r>
      <w:r w:rsidR="008808EC">
        <w:t>KS</w:t>
      </w:r>
      <w:r w:rsidRPr="008808EC">
        <w:t xml:space="preserve">: </w:t>
      </w:r>
      <w:r w:rsidR="008A354B">
        <w:t xml:space="preserve">MBAKS members can come talk to the Committee about </w:t>
      </w:r>
      <w:r w:rsidRPr="008808EC">
        <w:t xml:space="preserve">development in rural areas </w:t>
      </w:r>
      <w:r w:rsidR="008A354B">
        <w:t>at an upcoming meeting</w:t>
      </w:r>
      <w:r w:rsidRPr="008808EC">
        <w:t xml:space="preserve">. </w:t>
      </w:r>
      <w:r w:rsidR="008A354B">
        <w:t>The C</w:t>
      </w:r>
      <w:r w:rsidRPr="008808EC">
        <w:t xml:space="preserve">ommittee expressed interest in hearing from </w:t>
      </w:r>
      <w:r w:rsidR="008A354B">
        <w:t>developers</w:t>
      </w:r>
      <w:r w:rsidRPr="008808EC">
        <w:t xml:space="preserve">. </w:t>
      </w:r>
      <w:r w:rsidR="008A354B">
        <w:t>Stephanie will coordinate with Gina to schedule a presentation.</w:t>
      </w:r>
    </w:p>
    <w:p w14:paraId="5481BD6C" w14:textId="77777777" w:rsidR="00163783" w:rsidRPr="00966693" w:rsidRDefault="00163783" w:rsidP="00163783">
      <w:pPr>
        <w:pStyle w:val="Heading2"/>
      </w:pPr>
      <w:r w:rsidRPr="00966693">
        <w:t>Public Comment</w:t>
      </w:r>
    </w:p>
    <w:p w14:paraId="104CB513" w14:textId="77777777" w:rsidR="00163783" w:rsidRPr="00262E32" w:rsidRDefault="00163783" w:rsidP="00163783">
      <w:pPr>
        <w:rPr>
          <w:i/>
        </w:rPr>
      </w:pPr>
      <w:r>
        <w:rPr>
          <w:i/>
        </w:rPr>
        <w:t>No comments.</w:t>
      </w:r>
    </w:p>
    <w:p w14:paraId="4F9AB010" w14:textId="28D3D5F6" w:rsidR="00163783" w:rsidRDefault="00163783" w:rsidP="000064FF">
      <w:pPr>
        <w:pStyle w:val="Heading2"/>
      </w:pPr>
      <w:r w:rsidRPr="00163783">
        <w:t>Consumptive Use</w:t>
      </w:r>
    </w:p>
    <w:p w14:paraId="0CD3184A" w14:textId="77777777" w:rsidR="007F1EB1" w:rsidRDefault="007F1EB1" w:rsidP="007F1EB1">
      <w:r>
        <w:t xml:space="preserve">Objectives: </w:t>
      </w:r>
    </w:p>
    <w:p w14:paraId="19579026" w14:textId="0E56515E" w:rsidR="007F1EB1" w:rsidRDefault="007F1EB1" w:rsidP="007F1EB1">
      <w:pPr>
        <w:pStyle w:val="Bullets"/>
      </w:pPr>
      <w:r>
        <w:t>Report out from Oct 21 Technical Workgroup Meeting.</w:t>
      </w:r>
    </w:p>
    <w:p w14:paraId="4F41BD4C" w14:textId="77777777" w:rsidR="007F1EB1" w:rsidRDefault="007F1EB1" w:rsidP="007F1EB1">
      <w:pPr>
        <w:pStyle w:val="Bullets"/>
      </w:pPr>
      <w:r>
        <w:t>Presentation and demonstration of consumptive use calculator and estimate.</w:t>
      </w:r>
    </w:p>
    <w:p w14:paraId="2807EEFE" w14:textId="77777777" w:rsidR="007F1EB1" w:rsidRDefault="007F1EB1" w:rsidP="007F1EB1">
      <w:pPr>
        <w:pStyle w:val="Bullets"/>
      </w:pPr>
      <w:r>
        <w:t>Discuss factors to consider for the offset target.</w:t>
      </w:r>
    </w:p>
    <w:p w14:paraId="53684CB5" w14:textId="77777777" w:rsidR="007F1EB1" w:rsidRDefault="007F1EB1" w:rsidP="007F1EB1">
      <w:pPr>
        <w:pStyle w:val="Subhead"/>
      </w:pPr>
      <w:r w:rsidRPr="001D597F">
        <w:t>Reference Materials</w:t>
      </w:r>
    </w:p>
    <w:p w14:paraId="63538BB3" w14:textId="77777777" w:rsidR="007F1EB1" w:rsidRDefault="007F1EB1" w:rsidP="007F1EB1">
      <w:pPr>
        <w:pStyle w:val="Bullets"/>
      </w:pPr>
      <w:r>
        <w:t xml:space="preserve">Draft consumptive use memo </w:t>
      </w:r>
    </w:p>
    <w:p w14:paraId="17234AF7" w14:textId="77777777" w:rsidR="007F1EB1" w:rsidRDefault="007F1EB1" w:rsidP="007F1EB1">
      <w:pPr>
        <w:pStyle w:val="Bullets"/>
      </w:pPr>
      <w:r>
        <w:t>Consumptive use calculator (excel spreadsheet)</w:t>
      </w:r>
    </w:p>
    <w:p w14:paraId="3A71DDB0" w14:textId="77777777" w:rsidR="007F1EB1" w:rsidRPr="00E033EB" w:rsidRDefault="007F1EB1" w:rsidP="007F1EB1">
      <w:pPr>
        <w:pStyle w:val="Subhead"/>
      </w:pPr>
      <w:r w:rsidRPr="00E033EB">
        <w:t>Consumptive Use and Offset Targets</w:t>
      </w:r>
    </w:p>
    <w:p w14:paraId="3D527E48" w14:textId="77777777" w:rsidR="007F1EB1" w:rsidRDefault="007F1EB1" w:rsidP="007F1EB1">
      <w:pPr>
        <w:pStyle w:val="Bullets"/>
      </w:pPr>
      <w:r>
        <w:t>Stephanie provided a recap of previous conversations on growth projections and consumptive use at the Committee and workgroup level.</w:t>
      </w:r>
    </w:p>
    <w:p w14:paraId="20C365BA" w14:textId="183E5BD2" w:rsidR="007F1EB1" w:rsidRDefault="007F1EB1" w:rsidP="007F1EB1">
      <w:pPr>
        <w:pStyle w:val="Bullets"/>
        <w:numPr>
          <w:ilvl w:val="1"/>
          <w:numId w:val="13"/>
        </w:numPr>
      </w:pPr>
      <w:r>
        <w:lastRenderedPageBreak/>
        <w:t xml:space="preserve">At the September WREC meeting, the Committee reviewed the 20-year WRIA 8 growth projections and had general agreement to move forward using the subbasin and WRIA totals. </w:t>
      </w:r>
    </w:p>
    <w:p w14:paraId="032254AF" w14:textId="5A6E7983" w:rsidR="007F1EB1" w:rsidRDefault="007F1EB1" w:rsidP="007F1EB1">
      <w:pPr>
        <w:pStyle w:val="Bullets"/>
        <w:numPr>
          <w:ilvl w:val="1"/>
          <w:numId w:val="13"/>
        </w:numPr>
      </w:pPr>
      <w:r>
        <w:t>GeoEngineers produced a technical memo on growth projections methods and results. GeoEngineers will add the Snohomish County and King County methods write-ups as attachments. The technical memo will be included in the appendix of the WRE plan.</w:t>
      </w:r>
    </w:p>
    <w:p w14:paraId="57177552" w14:textId="77777777" w:rsidR="007F1EB1" w:rsidRDefault="007F1EB1" w:rsidP="007F1EB1">
      <w:pPr>
        <w:pStyle w:val="Bullets"/>
        <w:numPr>
          <w:ilvl w:val="1"/>
          <w:numId w:val="13"/>
        </w:numPr>
      </w:pPr>
      <w:r>
        <w:t>At the May WRIA 8 &amp; 9 WREC meeting, John Covert presented on Ecology recommended methods for estimating consumptive use and estimates from other watershed groups. The Committees discussed considerations for the consumptive use estimate.</w:t>
      </w:r>
    </w:p>
    <w:p w14:paraId="39FCAA07" w14:textId="77777777" w:rsidR="007F1EB1" w:rsidRDefault="007F1EB1" w:rsidP="007F1EB1">
      <w:pPr>
        <w:pStyle w:val="Bullets"/>
        <w:numPr>
          <w:ilvl w:val="1"/>
          <w:numId w:val="13"/>
        </w:numPr>
      </w:pPr>
      <w:r>
        <w:t>The technical consultant team produced a detailed consumptive use workplan. The workgroup reviewed the workplan over the summer.</w:t>
      </w:r>
    </w:p>
    <w:p w14:paraId="2D1393DA" w14:textId="10893886" w:rsidR="007F1EB1" w:rsidRDefault="007F1EB1" w:rsidP="007F1EB1">
      <w:pPr>
        <w:pStyle w:val="Bullets"/>
        <w:numPr>
          <w:ilvl w:val="1"/>
          <w:numId w:val="13"/>
        </w:numPr>
      </w:pPr>
      <w:r>
        <w:t>The detailed workplan included methods for coming up with an average lawn size. The consultants completed the irrigated footprint analysis and presented the results to the workgroup on October 21.</w:t>
      </w:r>
    </w:p>
    <w:p w14:paraId="631BECB5" w14:textId="17597FD9" w:rsidR="007F1EB1" w:rsidRDefault="007F1EB1" w:rsidP="007F1EB1">
      <w:pPr>
        <w:pStyle w:val="Bullets"/>
        <w:numPr>
          <w:ilvl w:val="1"/>
          <w:numId w:val="13"/>
        </w:numPr>
      </w:pPr>
      <w:r>
        <w:t xml:space="preserve">The technical consultants presented the consumptive use calculator and WRIA 8 consumptive use estimate at the October 21 technical workgroup meeting. </w:t>
      </w:r>
    </w:p>
    <w:p w14:paraId="4154C5C7" w14:textId="77777777" w:rsidR="007F1EB1" w:rsidRDefault="007F1EB1" w:rsidP="007F1EB1">
      <w:pPr>
        <w:pStyle w:val="Bullets"/>
      </w:pPr>
      <w:r>
        <w:t>The Committee can decide on an offset target that is higher than the consumptive use estimate.</w:t>
      </w:r>
    </w:p>
    <w:p w14:paraId="356AB5A8" w14:textId="04453A57" w:rsidR="007F1EB1" w:rsidRDefault="007F1EB1" w:rsidP="007F1EB1">
      <w:pPr>
        <w:pStyle w:val="Bullets"/>
      </w:pPr>
      <w:r>
        <w:t xml:space="preserve">The Committee discussed </w:t>
      </w:r>
      <w:r w:rsidR="002E7889">
        <w:t xml:space="preserve">some of the </w:t>
      </w:r>
      <w:r>
        <w:t>factors to consider in developing the offset target.</w:t>
      </w:r>
    </w:p>
    <w:p w14:paraId="50BBF375" w14:textId="77777777" w:rsidR="007F1EB1" w:rsidRDefault="007F1EB1" w:rsidP="007F1EB1">
      <w:pPr>
        <w:pStyle w:val="Subhead"/>
      </w:pPr>
      <w:r>
        <w:t>Consumptive Use Estimate and Calculator</w:t>
      </w:r>
    </w:p>
    <w:p w14:paraId="5577ACCA" w14:textId="20473780" w:rsidR="007F1EB1" w:rsidRDefault="007F1EB1" w:rsidP="007F1EB1">
      <w:pPr>
        <w:pStyle w:val="Bullets"/>
      </w:pPr>
      <w:r>
        <w:t xml:space="preserve">Cynthia Carlstad provided a review of the methods used to estimate consumptive use (see consumptive use memo, presentation and consumptive use calculator on the </w:t>
      </w:r>
      <w:hyperlink r:id="rId19" w:history="1">
        <w:r w:rsidRPr="007F1EB1">
          <w:rPr>
            <w:rStyle w:val="Hyperlink"/>
          </w:rPr>
          <w:t>Committee website</w:t>
        </w:r>
      </w:hyperlink>
      <w:r>
        <w:t xml:space="preserve"> and in the </w:t>
      </w:r>
      <w:hyperlink r:id="rId20" w:history="1">
        <w:r w:rsidRPr="007F1EB1">
          <w:rPr>
            <w:rStyle w:val="Hyperlink"/>
          </w:rPr>
          <w:t>October meeting materials folder</w:t>
        </w:r>
      </w:hyperlink>
      <w:r>
        <w:t xml:space="preserve"> on box.com).</w:t>
      </w:r>
    </w:p>
    <w:p w14:paraId="6B2CA0B0" w14:textId="77777777" w:rsidR="007F1EB1" w:rsidRDefault="007F1EB1" w:rsidP="007F1EB1">
      <w:pPr>
        <w:pStyle w:val="Bullets"/>
        <w:numPr>
          <w:ilvl w:val="1"/>
          <w:numId w:val="13"/>
        </w:numPr>
      </w:pPr>
      <w:r>
        <w:t xml:space="preserve">Indoor water use based on: </w:t>
      </w:r>
    </w:p>
    <w:p w14:paraId="2A1D81F1" w14:textId="77777777" w:rsidR="007F1EB1" w:rsidRDefault="007F1EB1" w:rsidP="007F1EB1">
      <w:pPr>
        <w:pStyle w:val="Bullets"/>
        <w:numPr>
          <w:ilvl w:val="2"/>
          <w:numId w:val="13"/>
        </w:numPr>
      </w:pPr>
      <w:r>
        <w:t>60 gpd per person</w:t>
      </w:r>
    </w:p>
    <w:p w14:paraId="490EB3B9" w14:textId="1F821E39" w:rsidR="007F1EB1" w:rsidRDefault="007F1EB1" w:rsidP="007F1EB1">
      <w:pPr>
        <w:pStyle w:val="Bullets"/>
        <w:numPr>
          <w:ilvl w:val="2"/>
          <w:numId w:val="13"/>
        </w:numPr>
      </w:pPr>
      <w:r>
        <w:t>2.73 people per home based on rural household size from King County; 2.9 people per home based on rural household size in Snohomish County</w:t>
      </w:r>
    </w:p>
    <w:p w14:paraId="54118A63" w14:textId="77777777" w:rsidR="007F1EB1" w:rsidRDefault="007F1EB1" w:rsidP="007F1EB1">
      <w:pPr>
        <w:pStyle w:val="Bullets"/>
        <w:numPr>
          <w:ilvl w:val="2"/>
          <w:numId w:val="13"/>
        </w:numPr>
      </w:pPr>
      <w:r>
        <w:t>10% consumptive</w:t>
      </w:r>
    </w:p>
    <w:p w14:paraId="3FF6CB10" w14:textId="77777777" w:rsidR="007F1EB1" w:rsidRDefault="007F1EB1" w:rsidP="007F1EB1">
      <w:pPr>
        <w:pStyle w:val="Bullets"/>
        <w:numPr>
          <w:ilvl w:val="1"/>
          <w:numId w:val="13"/>
        </w:numPr>
      </w:pPr>
      <w:r>
        <w:t>Outdoor water use based on:</w:t>
      </w:r>
    </w:p>
    <w:p w14:paraId="79D8E925" w14:textId="0EEA2747" w:rsidR="007F1EB1" w:rsidRDefault="00765C2C" w:rsidP="007F1EB1">
      <w:pPr>
        <w:pStyle w:val="Bullets"/>
        <w:numPr>
          <w:ilvl w:val="2"/>
          <w:numId w:val="13"/>
        </w:numPr>
      </w:pPr>
      <w:r>
        <w:t xml:space="preserve">Average lawn size </w:t>
      </w:r>
      <w:r w:rsidR="007F1EB1">
        <w:t>per subbasin</w:t>
      </w:r>
      <w:r>
        <w:t xml:space="preserve"> based on</w:t>
      </w:r>
      <w:r w:rsidRPr="00765C2C">
        <w:t xml:space="preserve"> </w:t>
      </w:r>
      <w:r>
        <w:t>irrigated footprint analysis</w:t>
      </w:r>
    </w:p>
    <w:p w14:paraId="11752376" w14:textId="77777777" w:rsidR="007F1EB1" w:rsidRDefault="007F1EB1" w:rsidP="007F1EB1">
      <w:pPr>
        <w:pStyle w:val="Bullets"/>
        <w:numPr>
          <w:ilvl w:val="2"/>
          <w:numId w:val="13"/>
        </w:numPr>
      </w:pPr>
      <w:r>
        <w:t>Crop irrigation requirement per subbasin; using Washington Irrigation Guide estimates for grass</w:t>
      </w:r>
    </w:p>
    <w:p w14:paraId="55DE1273" w14:textId="77777777" w:rsidR="007F1EB1" w:rsidRDefault="007F1EB1" w:rsidP="007F1EB1">
      <w:pPr>
        <w:pStyle w:val="Bullets"/>
        <w:numPr>
          <w:ilvl w:val="2"/>
          <w:numId w:val="13"/>
        </w:numPr>
      </w:pPr>
      <w:r>
        <w:t>75% application efficiency</w:t>
      </w:r>
    </w:p>
    <w:p w14:paraId="4376A28A" w14:textId="77777777" w:rsidR="007F1EB1" w:rsidRDefault="007F1EB1" w:rsidP="007F1EB1">
      <w:pPr>
        <w:pStyle w:val="Bullets"/>
        <w:numPr>
          <w:ilvl w:val="2"/>
          <w:numId w:val="13"/>
        </w:numPr>
      </w:pPr>
      <w:r>
        <w:t>80% consumptive</w:t>
      </w:r>
    </w:p>
    <w:p w14:paraId="39465D07" w14:textId="77777777" w:rsidR="007F1EB1" w:rsidRDefault="007F1EB1" w:rsidP="007F1EB1">
      <w:pPr>
        <w:pStyle w:val="Bullets"/>
      </w:pPr>
      <w:r>
        <w:t>The consumptive use calculator is an excel tool that will develop a consumptive use estimate based on user input and assumptions. It includes estimates of annual average use and summer use (June, July, August).</w:t>
      </w:r>
    </w:p>
    <w:p w14:paraId="5B6BA7AA" w14:textId="77777777" w:rsidR="007F1EB1" w:rsidRDefault="007F1EB1" w:rsidP="007F1EB1">
      <w:pPr>
        <w:pStyle w:val="Bullets"/>
        <w:numPr>
          <w:ilvl w:val="1"/>
          <w:numId w:val="13"/>
        </w:numPr>
      </w:pPr>
      <w:r>
        <w:t>Information tab provides the data and sources used for the calculations.</w:t>
      </w:r>
    </w:p>
    <w:p w14:paraId="4C0C0198" w14:textId="09105276" w:rsidR="007F1EB1" w:rsidRDefault="007F1EB1" w:rsidP="007F1EB1">
      <w:pPr>
        <w:pStyle w:val="Bullets"/>
        <w:numPr>
          <w:ilvl w:val="1"/>
          <w:numId w:val="13"/>
        </w:numPr>
      </w:pPr>
      <w:r>
        <w:t>Summary Annual tab include</w:t>
      </w:r>
      <w:r w:rsidR="002E7889">
        <w:t>s</w:t>
      </w:r>
      <w:r>
        <w:t xml:space="preserve"> the annual consumptive use from the following scenarios:</w:t>
      </w:r>
    </w:p>
    <w:p w14:paraId="03A60016" w14:textId="77777777" w:rsidR="007F1EB1" w:rsidRDefault="007F1EB1" w:rsidP="007F1EB1">
      <w:pPr>
        <w:pStyle w:val="Bullets"/>
        <w:numPr>
          <w:ilvl w:val="2"/>
          <w:numId w:val="13"/>
        </w:numPr>
      </w:pPr>
      <w:r>
        <w:t>Scenario 1: assumes 60 gpd indoor use per person and an average lawn size, based on irrigated footprint analysis</w:t>
      </w:r>
    </w:p>
    <w:p w14:paraId="125DF3A2" w14:textId="77777777" w:rsidR="007F1EB1" w:rsidRDefault="007F1EB1" w:rsidP="007F1EB1">
      <w:pPr>
        <w:pStyle w:val="Bullets"/>
        <w:numPr>
          <w:ilvl w:val="2"/>
          <w:numId w:val="13"/>
        </w:numPr>
      </w:pPr>
      <w:r>
        <w:t>Scenario 2: assumes 60 gpd indoor use per person and ½ acre irrigated lawn area</w:t>
      </w:r>
    </w:p>
    <w:p w14:paraId="395844B3" w14:textId="77777777" w:rsidR="007F1EB1" w:rsidRDefault="007F1EB1" w:rsidP="007F1EB1">
      <w:pPr>
        <w:pStyle w:val="Bullets"/>
        <w:numPr>
          <w:ilvl w:val="2"/>
          <w:numId w:val="13"/>
        </w:numPr>
      </w:pPr>
      <w:r>
        <w:t>Scenario 3: assume homes use 950 gpd annual average, with indoor use of 60 gpd per person and the rest for outdoor use</w:t>
      </w:r>
    </w:p>
    <w:p w14:paraId="0A505F5F" w14:textId="1CDAAED2" w:rsidR="007F1EB1" w:rsidRDefault="007F1EB1" w:rsidP="007F1EB1">
      <w:pPr>
        <w:pStyle w:val="Bullets"/>
        <w:numPr>
          <w:ilvl w:val="2"/>
          <w:numId w:val="13"/>
        </w:numPr>
      </w:pPr>
      <w:r>
        <w:t>Scenario 4: provides the average household water use from data provided by Snohomish Public Utility District (numbers are total use, not consumptive use)</w:t>
      </w:r>
    </w:p>
    <w:p w14:paraId="486778E8" w14:textId="77777777" w:rsidR="007F1EB1" w:rsidRDefault="007F1EB1" w:rsidP="007F1EB1">
      <w:pPr>
        <w:pStyle w:val="Bullets"/>
        <w:numPr>
          <w:ilvl w:val="2"/>
          <w:numId w:val="13"/>
        </w:numPr>
      </w:pPr>
      <w:r>
        <w:t>Active scenario: populates from user data entered in the “CALC” tabs.</w:t>
      </w:r>
    </w:p>
    <w:p w14:paraId="44963B5E" w14:textId="77777777" w:rsidR="007F1EB1" w:rsidRDefault="007F1EB1" w:rsidP="007F1EB1">
      <w:pPr>
        <w:pStyle w:val="Bullets"/>
        <w:numPr>
          <w:ilvl w:val="1"/>
          <w:numId w:val="13"/>
        </w:numPr>
      </w:pPr>
      <w:r>
        <w:t>Summary Summer tab includes the summer (June, July, August) consumptive use for scenarios 1 through 4 and the active scenario.</w:t>
      </w:r>
    </w:p>
    <w:p w14:paraId="52704BE1" w14:textId="77777777" w:rsidR="007F1EB1" w:rsidRDefault="007F1EB1" w:rsidP="007F1EB1">
      <w:pPr>
        <w:pStyle w:val="Bullets"/>
      </w:pPr>
      <w:r>
        <w:lastRenderedPageBreak/>
        <w:t>CALC tabs allow users to input your own data and assumptions.</w:t>
      </w:r>
    </w:p>
    <w:p w14:paraId="391BE290" w14:textId="7BCB36CD" w:rsidR="007F1EB1" w:rsidRDefault="007F1EB1" w:rsidP="007F1EB1">
      <w:pPr>
        <w:pStyle w:val="Bullets"/>
      </w:pPr>
      <w:r>
        <w:t>Using the Ecology recommended methods, the draft consumptive use estimate for WRIA 8 is:</w:t>
      </w:r>
    </w:p>
    <w:p w14:paraId="7DCF7065" w14:textId="1DDFA50B" w:rsidR="007F1EB1" w:rsidRDefault="007F1EB1" w:rsidP="007F1EB1">
      <w:pPr>
        <w:pStyle w:val="Bullets"/>
        <w:numPr>
          <w:ilvl w:val="1"/>
          <w:numId w:val="13"/>
        </w:numPr>
      </w:pPr>
      <w:r>
        <w:t>438.9 acre feet per year</w:t>
      </w:r>
    </w:p>
    <w:p w14:paraId="1A17DAD7" w14:textId="0887746E" w:rsidR="007F1EB1" w:rsidRDefault="007F1EB1" w:rsidP="007F1EB1">
      <w:pPr>
        <w:pStyle w:val="Bullets"/>
        <w:numPr>
          <w:ilvl w:val="1"/>
          <w:numId w:val="13"/>
        </w:numPr>
      </w:pPr>
      <w:r>
        <w:t>0.61 cfs</w:t>
      </w:r>
    </w:p>
    <w:p w14:paraId="20331F3B" w14:textId="47CC9857" w:rsidR="007F1EB1" w:rsidRDefault="007F1EB1" w:rsidP="007F1EB1">
      <w:pPr>
        <w:pStyle w:val="Bullets"/>
        <w:numPr>
          <w:ilvl w:val="1"/>
          <w:numId w:val="13"/>
        </w:numPr>
      </w:pPr>
      <w:r>
        <w:t>405 gallons per day per home</w:t>
      </w:r>
    </w:p>
    <w:p w14:paraId="1C6D1D01" w14:textId="77777777" w:rsidR="002E7889" w:rsidRDefault="002E7889" w:rsidP="007F1EB1">
      <w:pPr>
        <w:pStyle w:val="Bullets"/>
        <w:numPr>
          <w:ilvl w:val="0"/>
          <w:numId w:val="0"/>
        </w:numPr>
        <w:jc w:val="center"/>
        <w:rPr>
          <w:b/>
        </w:rPr>
      </w:pPr>
    </w:p>
    <w:p w14:paraId="144D1099" w14:textId="782AC8FA" w:rsidR="007F1EB1" w:rsidRPr="00726DEC" w:rsidRDefault="007F1EB1" w:rsidP="007F1EB1">
      <w:pPr>
        <w:pStyle w:val="Bullets"/>
        <w:numPr>
          <w:ilvl w:val="0"/>
          <w:numId w:val="0"/>
        </w:numPr>
        <w:jc w:val="center"/>
        <w:rPr>
          <w:b/>
        </w:rPr>
      </w:pPr>
      <w:r w:rsidRPr="00726DEC">
        <w:rPr>
          <w:b/>
        </w:rPr>
        <w:t>Annual Consumptive Use Summary for One Home with Subbasin Average Yard</w:t>
      </w:r>
    </w:p>
    <w:tbl>
      <w:tblPr>
        <w:tblW w:w="9360" w:type="dxa"/>
        <w:jc w:val="center"/>
        <w:tblLook w:val="04A0" w:firstRow="1" w:lastRow="0" w:firstColumn="1" w:lastColumn="0" w:noHBand="0" w:noVBand="1"/>
      </w:tblPr>
      <w:tblGrid>
        <w:gridCol w:w="2609"/>
        <w:gridCol w:w="1276"/>
        <w:gridCol w:w="1313"/>
        <w:gridCol w:w="776"/>
        <w:gridCol w:w="924"/>
        <w:gridCol w:w="1080"/>
        <w:gridCol w:w="1382"/>
      </w:tblGrid>
      <w:tr w:rsidR="007F1EB1" w:rsidRPr="001202A3" w14:paraId="4A305041" w14:textId="77777777" w:rsidTr="007F1EB1">
        <w:trPr>
          <w:trHeight w:val="300"/>
          <w:jc w:val="center"/>
        </w:trPr>
        <w:tc>
          <w:tcPr>
            <w:tcW w:w="2609" w:type="dxa"/>
            <w:vMerge w:val="restart"/>
            <w:tcBorders>
              <w:top w:val="nil"/>
              <w:left w:val="nil"/>
              <w:right w:val="nil"/>
            </w:tcBorders>
            <w:shd w:val="clear" w:color="D9E1F2" w:fill="D9E1F2"/>
            <w:noWrap/>
            <w:vAlign w:val="bottom"/>
          </w:tcPr>
          <w:p w14:paraId="5162E863" w14:textId="77777777" w:rsidR="007F1EB1" w:rsidRPr="001202A3" w:rsidRDefault="007F1EB1" w:rsidP="00444698">
            <w:pPr>
              <w:pStyle w:val="GEITableText"/>
              <w:keepNext/>
              <w:rPr>
                <w:rFonts w:cs="Calibri"/>
                <w:b/>
                <w:bCs/>
                <w:color w:val="000000"/>
              </w:rPr>
            </w:pPr>
            <w:r w:rsidRPr="001202A3">
              <w:rPr>
                <w:b/>
                <w:bCs/>
              </w:rPr>
              <w:t>Subbasin ID</w:t>
            </w:r>
          </w:p>
        </w:tc>
        <w:tc>
          <w:tcPr>
            <w:tcW w:w="1276" w:type="dxa"/>
            <w:vMerge w:val="restart"/>
            <w:tcBorders>
              <w:top w:val="nil"/>
              <w:left w:val="nil"/>
              <w:right w:val="single" w:sz="4" w:space="0" w:color="5B9BD5" w:themeColor="accent1"/>
            </w:tcBorders>
            <w:shd w:val="clear" w:color="D9E1F2" w:fill="D9E1F2"/>
            <w:noWrap/>
            <w:vAlign w:val="bottom"/>
          </w:tcPr>
          <w:p w14:paraId="5A7A0D9B" w14:textId="77777777" w:rsidR="007F1EB1" w:rsidRPr="001202A3" w:rsidRDefault="007F1EB1" w:rsidP="00444698">
            <w:pPr>
              <w:pStyle w:val="GEITableText"/>
              <w:keepNext/>
              <w:jc w:val="center"/>
              <w:rPr>
                <w:rFonts w:cs="Calibri"/>
                <w:b/>
                <w:bCs/>
                <w:color w:val="000000"/>
              </w:rPr>
            </w:pPr>
            <w:r w:rsidRPr="001202A3">
              <w:rPr>
                <w:b/>
                <w:bCs/>
              </w:rPr>
              <w:t># PE Wells Anticipated in Subbasin</w:t>
            </w:r>
          </w:p>
        </w:tc>
        <w:tc>
          <w:tcPr>
            <w:tcW w:w="1313" w:type="dxa"/>
            <w:vMerge w:val="restart"/>
            <w:tcBorders>
              <w:top w:val="nil"/>
              <w:left w:val="single" w:sz="4" w:space="0" w:color="5B9BD5" w:themeColor="accent1"/>
              <w:right w:val="single" w:sz="4" w:space="0" w:color="5B9BD5" w:themeColor="accent1"/>
            </w:tcBorders>
            <w:shd w:val="clear" w:color="D9E1F2" w:fill="D9E1F2"/>
            <w:vAlign w:val="bottom"/>
          </w:tcPr>
          <w:p w14:paraId="1768E5E0" w14:textId="77777777" w:rsidR="007F1EB1" w:rsidRPr="001202A3" w:rsidRDefault="007F1EB1" w:rsidP="00444698">
            <w:pPr>
              <w:pStyle w:val="GEITableText"/>
              <w:keepNext/>
              <w:jc w:val="center"/>
              <w:rPr>
                <w:rFonts w:cs="Calibri"/>
                <w:b/>
                <w:bCs/>
                <w:color w:val="000000"/>
              </w:rPr>
            </w:pPr>
            <w:r w:rsidRPr="001202A3">
              <w:rPr>
                <w:b/>
                <w:bCs/>
              </w:rPr>
              <w:t>Irrigated Area per Well (ac)</w:t>
            </w:r>
          </w:p>
        </w:tc>
        <w:tc>
          <w:tcPr>
            <w:tcW w:w="2780" w:type="dxa"/>
            <w:gridSpan w:val="3"/>
            <w:tcBorders>
              <w:top w:val="nil"/>
              <w:left w:val="single" w:sz="4" w:space="0" w:color="5B9BD5" w:themeColor="accent1"/>
              <w:right w:val="single" w:sz="4" w:space="0" w:color="5B9BD5" w:themeColor="accent1"/>
            </w:tcBorders>
            <w:shd w:val="clear" w:color="D9E1F2" w:fill="D9E1F2"/>
            <w:vAlign w:val="bottom"/>
          </w:tcPr>
          <w:p w14:paraId="2E4791CD" w14:textId="77777777" w:rsidR="007F1EB1" w:rsidRPr="001202A3" w:rsidRDefault="007F1EB1" w:rsidP="00444698">
            <w:pPr>
              <w:pStyle w:val="GEITableText"/>
              <w:keepNext/>
              <w:jc w:val="center"/>
              <w:rPr>
                <w:rFonts w:cs="Calibri"/>
                <w:b/>
                <w:bCs/>
                <w:color w:val="000000"/>
              </w:rPr>
            </w:pPr>
            <w:r w:rsidRPr="001202A3">
              <w:rPr>
                <w:b/>
                <w:bCs/>
              </w:rPr>
              <w:t>Per Well Consumptive Use (gpd)</w:t>
            </w:r>
          </w:p>
        </w:tc>
        <w:tc>
          <w:tcPr>
            <w:tcW w:w="1382" w:type="dxa"/>
            <w:vMerge w:val="restart"/>
            <w:tcBorders>
              <w:top w:val="nil"/>
              <w:left w:val="single" w:sz="4" w:space="0" w:color="5B9BD5" w:themeColor="accent1"/>
            </w:tcBorders>
            <w:shd w:val="clear" w:color="D9E1F2" w:fill="D9E1F2"/>
            <w:vAlign w:val="bottom"/>
          </w:tcPr>
          <w:p w14:paraId="0AB12DA2" w14:textId="77777777" w:rsidR="007F1EB1" w:rsidRPr="001202A3" w:rsidRDefault="007F1EB1" w:rsidP="00444698">
            <w:pPr>
              <w:pStyle w:val="GEITableText"/>
              <w:keepNext/>
              <w:jc w:val="center"/>
              <w:rPr>
                <w:b/>
                <w:bCs/>
              </w:rPr>
            </w:pPr>
            <w:r w:rsidRPr="001202A3">
              <w:rPr>
                <w:b/>
                <w:bCs/>
              </w:rPr>
              <w:t>Total Consumptive Use (af/yr)</w:t>
            </w:r>
          </w:p>
        </w:tc>
      </w:tr>
      <w:tr w:rsidR="007F1EB1" w:rsidRPr="004E35E8" w14:paraId="1A113E8B" w14:textId="77777777" w:rsidTr="007F1EB1">
        <w:trPr>
          <w:trHeight w:val="300"/>
          <w:jc w:val="center"/>
        </w:trPr>
        <w:tc>
          <w:tcPr>
            <w:tcW w:w="2609" w:type="dxa"/>
            <w:vMerge/>
            <w:tcBorders>
              <w:left w:val="nil"/>
              <w:bottom w:val="single" w:sz="4" w:space="0" w:color="8EA9DB"/>
              <w:right w:val="nil"/>
            </w:tcBorders>
            <w:shd w:val="clear" w:color="D9E1F2" w:fill="D9E1F2"/>
            <w:noWrap/>
            <w:vAlign w:val="bottom"/>
            <w:hideMark/>
          </w:tcPr>
          <w:p w14:paraId="3A83B47E" w14:textId="77777777" w:rsidR="007F1EB1" w:rsidRPr="004B13C0" w:rsidRDefault="007F1EB1" w:rsidP="00444698">
            <w:pPr>
              <w:pStyle w:val="GEITableText"/>
              <w:keepNext/>
              <w:rPr>
                <w:rFonts w:cs="Calibri"/>
                <w:color w:val="000000"/>
              </w:rPr>
            </w:pPr>
          </w:p>
        </w:tc>
        <w:tc>
          <w:tcPr>
            <w:tcW w:w="1276" w:type="dxa"/>
            <w:vMerge/>
            <w:tcBorders>
              <w:left w:val="nil"/>
              <w:bottom w:val="single" w:sz="4" w:space="0" w:color="8EA9DB"/>
              <w:right w:val="single" w:sz="4" w:space="0" w:color="5B9BD5" w:themeColor="accent1"/>
            </w:tcBorders>
            <w:shd w:val="clear" w:color="D9E1F2" w:fill="D9E1F2"/>
            <w:noWrap/>
            <w:vAlign w:val="bottom"/>
            <w:hideMark/>
          </w:tcPr>
          <w:p w14:paraId="69B0084F" w14:textId="77777777" w:rsidR="007F1EB1" w:rsidRPr="004B13C0" w:rsidRDefault="007F1EB1" w:rsidP="00444698">
            <w:pPr>
              <w:pStyle w:val="GEITableText"/>
              <w:keepNext/>
              <w:jc w:val="center"/>
              <w:rPr>
                <w:rFonts w:cs="Calibri"/>
                <w:color w:val="000000"/>
              </w:rPr>
            </w:pPr>
          </w:p>
        </w:tc>
        <w:tc>
          <w:tcPr>
            <w:tcW w:w="1313" w:type="dxa"/>
            <w:vMerge/>
            <w:tcBorders>
              <w:left w:val="single" w:sz="4" w:space="0" w:color="5B9BD5" w:themeColor="accent1"/>
              <w:bottom w:val="single" w:sz="4" w:space="0" w:color="5B9BD5" w:themeColor="accent1"/>
              <w:right w:val="single" w:sz="4" w:space="0" w:color="5B9BD5" w:themeColor="accent1"/>
            </w:tcBorders>
            <w:shd w:val="clear" w:color="D9E1F2" w:fill="D9E1F2"/>
            <w:vAlign w:val="bottom"/>
          </w:tcPr>
          <w:p w14:paraId="213BA3EE" w14:textId="77777777" w:rsidR="007F1EB1" w:rsidRPr="004B13C0" w:rsidRDefault="007F1EB1" w:rsidP="00444698">
            <w:pPr>
              <w:pStyle w:val="GEITableText"/>
              <w:keepNext/>
              <w:jc w:val="center"/>
              <w:rPr>
                <w:rFonts w:cs="Calibri"/>
                <w:color w:val="000000"/>
              </w:rPr>
            </w:pPr>
          </w:p>
        </w:tc>
        <w:tc>
          <w:tcPr>
            <w:tcW w:w="776" w:type="dxa"/>
            <w:tcBorders>
              <w:left w:val="single" w:sz="4" w:space="0" w:color="5B9BD5" w:themeColor="accent1"/>
              <w:bottom w:val="single" w:sz="4" w:space="0" w:color="5B9BD5" w:themeColor="accent1"/>
            </w:tcBorders>
            <w:shd w:val="clear" w:color="D9E1F2" w:fill="D9E1F2"/>
            <w:vAlign w:val="bottom"/>
          </w:tcPr>
          <w:p w14:paraId="080CA427" w14:textId="77777777" w:rsidR="007F1EB1" w:rsidRPr="001202A3" w:rsidRDefault="007F1EB1" w:rsidP="00444698">
            <w:pPr>
              <w:pStyle w:val="GEITableText"/>
              <w:keepNext/>
              <w:jc w:val="center"/>
              <w:rPr>
                <w:rFonts w:cs="Calibri"/>
                <w:b/>
                <w:bCs/>
                <w:color w:val="000000"/>
              </w:rPr>
            </w:pPr>
            <w:r w:rsidRPr="001202A3">
              <w:rPr>
                <w:b/>
                <w:bCs/>
              </w:rPr>
              <w:t>Indoor</w:t>
            </w:r>
          </w:p>
        </w:tc>
        <w:tc>
          <w:tcPr>
            <w:tcW w:w="924" w:type="dxa"/>
            <w:tcBorders>
              <w:bottom w:val="single" w:sz="4" w:space="0" w:color="5B9BD5" w:themeColor="accent1"/>
            </w:tcBorders>
            <w:shd w:val="clear" w:color="D9E1F2" w:fill="D9E1F2"/>
            <w:vAlign w:val="bottom"/>
          </w:tcPr>
          <w:p w14:paraId="6802129B" w14:textId="77777777" w:rsidR="007F1EB1" w:rsidRPr="001202A3" w:rsidRDefault="007F1EB1" w:rsidP="00444698">
            <w:pPr>
              <w:pStyle w:val="GEITableText"/>
              <w:keepNext/>
              <w:jc w:val="center"/>
              <w:rPr>
                <w:rFonts w:cs="Calibri"/>
                <w:b/>
                <w:bCs/>
                <w:color w:val="000000"/>
              </w:rPr>
            </w:pPr>
            <w:r w:rsidRPr="001202A3">
              <w:rPr>
                <w:b/>
                <w:bCs/>
              </w:rPr>
              <w:t>Outdoor</w:t>
            </w:r>
          </w:p>
        </w:tc>
        <w:tc>
          <w:tcPr>
            <w:tcW w:w="1080" w:type="dxa"/>
            <w:tcBorders>
              <w:bottom w:val="single" w:sz="4" w:space="0" w:color="5B9BD5" w:themeColor="accent1"/>
              <w:right w:val="single" w:sz="4" w:space="0" w:color="5B9BD5" w:themeColor="accent1"/>
            </w:tcBorders>
            <w:shd w:val="clear" w:color="D9E1F2" w:fill="D9E1F2"/>
            <w:noWrap/>
            <w:vAlign w:val="bottom"/>
            <w:hideMark/>
          </w:tcPr>
          <w:p w14:paraId="3290A51E" w14:textId="77777777" w:rsidR="007F1EB1" w:rsidRPr="001202A3" w:rsidRDefault="007F1EB1" w:rsidP="00444698">
            <w:pPr>
              <w:pStyle w:val="GEITableText"/>
              <w:keepNext/>
              <w:jc w:val="center"/>
              <w:rPr>
                <w:rFonts w:cs="Calibri"/>
                <w:b/>
                <w:bCs/>
                <w:color w:val="000000"/>
              </w:rPr>
            </w:pPr>
            <w:r w:rsidRPr="001202A3">
              <w:rPr>
                <w:b/>
                <w:bCs/>
              </w:rPr>
              <w:t>Total</w:t>
            </w:r>
          </w:p>
        </w:tc>
        <w:tc>
          <w:tcPr>
            <w:tcW w:w="1382" w:type="dxa"/>
            <w:vMerge/>
            <w:tcBorders>
              <w:left w:val="single" w:sz="4" w:space="0" w:color="5B9BD5" w:themeColor="accent1"/>
              <w:bottom w:val="single" w:sz="4" w:space="0" w:color="5B9BD5" w:themeColor="accent1"/>
            </w:tcBorders>
            <w:shd w:val="clear" w:color="D9E1F2" w:fill="D9E1F2"/>
          </w:tcPr>
          <w:p w14:paraId="721B3D72" w14:textId="77777777" w:rsidR="007F1EB1" w:rsidRPr="004B13C0" w:rsidRDefault="007F1EB1" w:rsidP="00444698">
            <w:pPr>
              <w:pStyle w:val="GEITableText"/>
              <w:keepNext/>
              <w:jc w:val="center"/>
            </w:pPr>
          </w:p>
        </w:tc>
      </w:tr>
      <w:tr w:rsidR="007F1EB1" w:rsidRPr="00090B81" w14:paraId="4468E9D7" w14:textId="77777777" w:rsidTr="007F1EB1">
        <w:trPr>
          <w:trHeight w:val="300"/>
          <w:jc w:val="center"/>
        </w:trPr>
        <w:tc>
          <w:tcPr>
            <w:tcW w:w="2609" w:type="dxa"/>
            <w:tcBorders>
              <w:top w:val="nil"/>
              <w:left w:val="nil"/>
              <w:bottom w:val="nil"/>
              <w:right w:val="nil"/>
            </w:tcBorders>
            <w:shd w:val="clear" w:color="auto" w:fill="auto"/>
            <w:noWrap/>
            <w:hideMark/>
          </w:tcPr>
          <w:p w14:paraId="2299255A" w14:textId="77777777" w:rsidR="007F1EB1" w:rsidRPr="00090B81" w:rsidRDefault="007F1EB1" w:rsidP="00444698">
            <w:pPr>
              <w:pStyle w:val="GEITableText"/>
              <w:keepNext/>
              <w:rPr>
                <w:rFonts w:cs="Calibri"/>
                <w:color w:val="000000"/>
              </w:rPr>
            </w:pPr>
            <w:r w:rsidRPr="0004692B">
              <w:t>P</w:t>
            </w:r>
            <w:r>
              <w:t>uget Sound</w:t>
            </w:r>
            <w:r w:rsidRPr="0004692B">
              <w:t xml:space="preserve"> Shorelines</w:t>
            </w:r>
          </w:p>
        </w:tc>
        <w:tc>
          <w:tcPr>
            <w:tcW w:w="1276" w:type="dxa"/>
            <w:tcBorders>
              <w:top w:val="nil"/>
              <w:left w:val="nil"/>
              <w:bottom w:val="nil"/>
              <w:right w:val="single" w:sz="4" w:space="0" w:color="5B9BD5" w:themeColor="accent1"/>
            </w:tcBorders>
            <w:shd w:val="clear" w:color="auto" w:fill="auto"/>
            <w:noWrap/>
            <w:hideMark/>
          </w:tcPr>
          <w:p w14:paraId="683AB2C7" w14:textId="77777777" w:rsidR="007F1EB1" w:rsidRPr="00090B81" w:rsidRDefault="007F1EB1" w:rsidP="00444698">
            <w:pPr>
              <w:pStyle w:val="GEITableText"/>
              <w:keepNext/>
              <w:jc w:val="center"/>
              <w:rPr>
                <w:rFonts w:cs="Calibri"/>
                <w:color w:val="000000"/>
              </w:rPr>
            </w:pPr>
            <w:r w:rsidRPr="00C50EE9">
              <w:t>2</w:t>
            </w:r>
          </w:p>
        </w:tc>
        <w:tc>
          <w:tcPr>
            <w:tcW w:w="1313" w:type="dxa"/>
            <w:tcBorders>
              <w:top w:val="single" w:sz="4" w:space="0" w:color="5B9BD5" w:themeColor="accent1"/>
              <w:left w:val="single" w:sz="4" w:space="0" w:color="5B9BD5" w:themeColor="accent1"/>
              <w:bottom w:val="nil"/>
              <w:right w:val="single" w:sz="4" w:space="0" w:color="5B9BD5" w:themeColor="accent1"/>
            </w:tcBorders>
          </w:tcPr>
          <w:p w14:paraId="2EE96844" w14:textId="77777777" w:rsidR="007F1EB1" w:rsidRPr="003E27C0" w:rsidRDefault="007F1EB1" w:rsidP="00444698">
            <w:pPr>
              <w:pStyle w:val="GEITableText"/>
              <w:keepNext/>
              <w:jc w:val="center"/>
            </w:pPr>
            <w:r w:rsidRPr="00D10522">
              <w:t>0.28</w:t>
            </w:r>
            <w:r w:rsidRPr="00D9758E">
              <w:rPr>
                <w:vertAlign w:val="superscript"/>
              </w:rPr>
              <w:t>†</w:t>
            </w:r>
          </w:p>
        </w:tc>
        <w:tc>
          <w:tcPr>
            <w:tcW w:w="776" w:type="dxa"/>
            <w:tcBorders>
              <w:top w:val="single" w:sz="4" w:space="0" w:color="5B9BD5" w:themeColor="accent1"/>
              <w:left w:val="single" w:sz="4" w:space="0" w:color="5B9BD5" w:themeColor="accent1"/>
              <w:bottom w:val="nil"/>
            </w:tcBorders>
          </w:tcPr>
          <w:p w14:paraId="4B51C8BA" w14:textId="77777777" w:rsidR="007F1EB1" w:rsidRPr="003E27C0" w:rsidRDefault="007F1EB1" w:rsidP="00444698">
            <w:pPr>
              <w:pStyle w:val="GEITableText"/>
              <w:keepNext/>
              <w:jc w:val="center"/>
            </w:pPr>
            <w:r w:rsidRPr="006D57E8">
              <w:t>17.4</w:t>
            </w:r>
          </w:p>
        </w:tc>
        <w:tc>
          <w:tcPr>
            <w:tcW w:w="924" w:type="dxa"/>
            <w:tcBorders>
              <w:top w:val="single" w:sz="4" w:space="0" w:color="5B9BD5" w:themeColor="accent1"/>
              <w:bottom w:val="nil"/>
            </w:tcBorders>
          </w:tcPr>
          <w:p w14:paraId="1B8E611D" w14:textId="77777777" w:rsidR="007F1EB1" w:rsidRPr="003E27C0" w:rsidRDefault="007F1EB1" w:rsidP="00444698">
            <w:pPr>
              <w:pStyle w:val="GEITableText"/>
              <w:keepNext/>
              <w:jc w:val="center"/>
            </w:pPr>
            <w:r w:rsidRPr="006D57E8">
              <w:t>334.4</w:t>
            </w:r>
          </w:p>
        </w:tc>
        <w:tc>
          <w:tcPr>
            <w:tcW w:w="1080" w:type="dxa"/>
            <w:tcBorders>
              <w:top w:val="single" w:sz="4" w:space="0" w:color="5B9BD5" w:themeColor="accent1"/>
              <w:bottom w:val="nil"/>
              <w:right w:val="single" w:sz="4" w:space="0" w:color="5B9BD5" w:themeColor="accent1"/>
            </w:tcBorders>
            <w:shd w:val="clear" w:color="auto" w:fill="auto"/>
            <w:noWrap/>
            <w:hideMark/>
          </w:tcPr>
          <w:p w14:paraId="40304B56" w14:textId="77777777" w:rsidR="007F1EB1" w:rsidRPr="00090B81" w:rsidRDefault="007F1EB1" w:rsidP="00444698">
            <w:pPr>
              <w:pStyle w:val="GEITableText"/>
              <w:keepNext/>
              <w:jc w:val="center"/>
              <w:rPr>
                <w:rFonts w:cs="Calibri"/>
                <w:color w:val="000000"/>
              </w:rPr>
            </w:pPr>
            <w:r w:rsidRPr="006D57E8">
              <w:t>351.8</w:t>
            </w:r>
          </w:p>
        </w:tc>
        <w:tc>
          <w:tcPr>
            <w:tcW w:w="1382" w:type="dxa"/>
            <w:tcBorders>
              <w:top w:val="single" w:sz="4" w:space="0" w:color="5B9BD5" w:themeColor="accent1"/>
              <w:left w:val="single" w:sz="4" w:space="0" w:color="5B9BD5" w:themeColor="accent1"/>
              <w:bottom w:val="nil"/>
            </w:tcBorders>
          </w:tcPr>
          <w:p w14:paraId="17C6E5C1" w14:textId="77777777" w:rsidR="007F1EB1" w:rsidRPr="00871F5E" w:rsidRDefault="007F1EB1" w:rsidP="00444698">
            <w:pPr>
              <w:pStyle w:val="GEITableText"/>
              <w:keepNext/>
              <w:jc w:val="center"/>
            </w:pPr>
            <w:r w:rsidRPr="00D571F0">
              <w:t>0.8</w:t>
            </w:r>
          </w:p>
        </w:tc>
      </w:tr>
      <w:tr w:rsidR="007F1EB1" w:rsidRPr="00090B81" w14:paraId="43BEDD42" w14:textId="77777777" w:rsidTr="007F1EB1">
        <w:trPr>
          <w:trHeight w:val="300"/>
          <w:jc w:val="center"/>
        </w:trPr>
        <w:tc>
          <w:tcPr>
            <w:tcW w:w="2609" w:type="dxa"/>
            <w:tcBorders>
              <w:top w:val="nil"/>
              <w:left w:val="nil"/>
              <w:bottom w:val="nil"/>
              <w:right w:val="nil"/>
            </w:tcBorders>
            <w:shd w:val="clear" w:color="auto" w:fill="auto"/>
            <w:noWrap/>
            <w:hideMark/>
          </w:tcPr>
          <w:p w14:paraId="07DFB6F3" w14:textId="77777777" w:rsidR="007F1EB1" w:rsidRPr="00090B81" w:rsidRDefault="007F1EB1" w:rsidP="00444698">
            <w:pPr>
              <w:pStyle w:val="GEITableText"/>
              <w:keepNext/>
              <w:rPr>
                <w:rFonts w:cs="Calibri"/>
                <w:color w:val="000000"/>
              </w:rPr>
            </w:pPr>
            <w:r w:rsidRPr="0004692B">
              <w:t>Swamp/North</w:t>
            </w:r>
          </w:p>
        </w:tc>
        <w:tc>
          <w:tcPr>
            <w:tcW w:w="1276" w:type="dxa"/>
            <w:tcBorders>
              <w:top w:val="nil"/>
              <w:left w:val="nil"/>
              <w:bottom w:val="nil"/>
              <w:right w:val="single" w:sz="4" w:space="0" w:color="5B9BD5" w:themeColor="accent1"/>
            </w:tcBorders>
            <w:shd w:val="clear" w:color="auto" w:fill="auto"/>
            <w:noWrap/>
            <w:hideMark/>
          </w:tcPr>
          <w:p w14:paraId="2C7A3396" w14:textId="77777777" w:rsidR="007F1EB1" w:rsidRPr="00090B81" w:rsidRDefault="007F1EB1" w:rsidP="00444698">
            <w:pPr>
              <w:pStyle w:val="GEITableText"/>
              <w:keepNext/>
              <w:jc w:val="center"/>
              <w:rPr>
                <w:rFonts w:cs="Calibri"/>
                <w:color w:val="000000"/>
              </w:rPr>
            </w:pPr>
            <w:r w:rsidRPr="00C50EE9">
              <w:t>5</w:t>
            </w:r>
          </w:p>
        </w:tc>
        <w:tc>
          <w:tcPr>
            <w:tcW w:w="1313" w:type="dxa"/>
            <w:tcBorders>
              <w:top w:val="nil"/>
              <w:left w:val="single" w:sz="4" w:space="0" w:color="5B9BD5" w:themeColor="accent1"/>
              <w:bottom w:val="nil"/>
              <w:right w:val="single" w:sz="4" w:space="0" w:color="5B9BD5" w:themeColor="accent1"/>
            </w:tcBorders>
          </w:tcPr>
          <w:p w14:paraId="6719DAE1" w14:textId="77777777" w:rsidR="007F1EB1" w:rsidRPr="003E27C0" w:rsidRDefault="007F1EB1" w:rsidP="00444698">
            <w:pPr>
              <w:pStyle w:val="GEITableText"/>
              <w:keepNext/>
              <w:jc w:val="center"/>
            </w:pPr>
            <w:r w:rsidRPr="00D10522">
              <w:t>0.28</w:t>
            </w:r>
            <w:r w:rsidRPr="00D9758E">
              <w:rPr>
                <w:vertAlign w:val="superscript"/>
              </w:rPr>
              <w:t>†</w:t>
            </w:r>
          </w:p>
        </w:tc>
        <w:tc>
          <w:tcPr>
            <w:tcW w:w="776" w:type="dxa"/>
            <w:tcBorders>
              <w:top w:val="nil"/>
              <w:left w:val="single" w:sz="4" w:space="0" w:color="5B9BD5" w:themeColor="accent1"/>
              <w:bottom w:val="nil"/>
            </w:tcBorders>
          </w:tcPr>
          <w:p w14:paraId="65EEDE53" w14:textId="77777777" w:rsidR="007F1EB1" w:rsidRPr="003E27C0" w:rsidRDefault="007F1EB1" w:rsidP="00444698">
            <w:pPr>
              <w:pStyle w:val="GEITableText"/>
              <w:keepNext/>
              <w:jc w:val="center"/>
            </w:pPr>
            <w:r w:rsidRPr="006D57E8">
              <w:t>17.4</w:t>
            </w:r>
          </w:p>
        </w:tc>
        <w:tc>
          <w:tcPr>
            <w:tcW w:w="924" w:type="dxa"/>
            <w:tcBorders>
              <w:top w:val="nil"/>
              <w:bottom w:val="nil"/>
            </w:tcBorders>
          </w:tcPr>
          <w:p w14:paraId="17D40845" w14:textId="77777777" w:rsidR="007F1EB1" w:rsidRPr="003E27C0" w:rsidRDefault="007F1EB1" w:rsidP="00444698">
            <w:pPr>
              <w:pStyle w:val="GEITableText"/>
              <w:keepNext/>
              <w:jc w:val="center"/>
            </w:pPr>
            <w:r w:rsidRPr="006D57E8">
              <w:t>314.6</w:t>
            </w:r>
          </w:p>
        </w:tc>
        <w:tc>
          <w:tcPr>
            <w:tcW w:w="1080" w:type="dxa"/>
            <w:tcBorders>
              <w:top w:val="nil"/>
              <w:bottom w:val="nil"/>
              <w:right w:val="single" w:sz="4" w:space="0" w:color="5B9BD5" w:themeColor="accent1"/>
            </w:tcBorders>
            <w:shd w:val="clear" w:color="auto" w:fill="auto"/>
            <w:noWrap/>
            <w:hideMark/>
          </w:tcPr>
          <w:p w14:paraId="3C4E0B0B" w14:textId="77777777" w:rsidR="007F1EB1" w:rsidRPr="00090B81" w:rsidRDefault="007F1EB1" w:rsidP="00444698">
            <w:pPr>
              <w:pStyle w:val="GEITableText"/>
              <w:keepNext/>
              <w:jc w:val="center"/>
              <w:rPr>
                <w:rFonts w:cs="Calibri"/>
                <w:color w:val="000000"/>
              </w:rPr>
            </w:pPr>
            <w:r w:rsidRPr="006D57E8">
              <w:t>332.0</w:t>
            </w:r>
          </w:p>
        </w:tc>
        <w:tc>
          <w:tcPr>
            <w:tcW w:w="1382" w:type="dxa"/>
            <w:tcBorders>
              <w:top w:val="nil"/>
              <w:left w:val="single" w:sz="4" w:space="0" w:color="5B9BD5" w:themeColor="accent1"/>
              <w:bottom w:val="nil"/>
            </w:tcBorders>
          </w:tcPr>
          <w:p w14:paraId="190A85E2" w14:textId="77777777" w:rsidR="007F1EB1" w:rsidRPr="00871F5E" w:rsidRDefault="007F1EB1" w:rsidP="00444698">
            <w:pPr>
              <w:pStyle w:val="GEITableText"/>
              <w:keepNext/>
              <w:jc w:val="center"/>
            </w:pPr>
            <w:r w:rsidRPr="00D571F0">
              <w:t>1.9</w:t>
            </w:r>
          </w:p>
        </w:tc>
      </w:tr>
      <w:tr w:rsidR="007F1EB1" w:rsidRPr="00090B81" w14:paraId="07F467DC" w14:textId="77777777" w:rsidTr="007F1EB1">
        <w:trPr>
          <w:trHeight w:val="300"/>
          <w:jc w:val="center"/>
        </w:trPr>
        <w:tc>
          <w:tcPr>
            <w:tcW w:w="2609" w:type="dxa"/>
            <w:tcBorders>
              <w:top w:val="nil"/>
              <w:left w:val="nil"/>
              <w:bottom w:val="nil"/>
              <w:right w:val="nil"/>
            </w:tcBorders>
            <w:shd w:val="clear" w:color="auto" w:fill="auto"/>
            <w:noWrap/>
            <w:hideMark/>
          </w:tcPr>
          <w:p w14:paraId="0C3B02A0" w14:textId="77777777" w:rsidR="007F1EB1" w:rsidRPr="00090B81" w:rsidRDefault="007F1EB1" w:rsidP="00444698">
            <w:pPr>
              <w:pStyle w:val="GEITableText"/>
              <w:keepNext/>
              <w:rPr>
                <w:rFonts w:cs="Calibri"/>
                <w:color w:val="000000"/>
              </w:rPr>
            </w:pPr>
            <w:r w:rsidRPr="0004692B">
              <w:t>Little Bear</w:t>
            </w:r>
          </w:p>
        </w:tc>
        <w:tc>
          <w:tcPr>
            <w:tcW w:w="1276" w:type="dxa"/>
            <w:tcBorders>
              <w:top w:val="nil"/>
              <w:left w:val="nil"/>
              <w:bottom w:val="nil"/>
              <w:right w:val="single" w:sz="4" w:space="0" w:color="5B9BD5" w:themeColor="accent1"/>
            </w:tcBorders>
            <w:shd w:val="clear" w:color="auto" w:fill="auto"/>
            <w:noWrap/>
            <w:hideMark/>
          </w:tcPr>
          <w:p w14:paraId="4EE058D7" w14:textId="77777777" w:rsidR="007F1EB1" w:rsidRPr="00090B81" w:rsidRDefault="007F1EB1" w:rsidP="00444698">
            <w:pPr>
              <w:pStyle w:val="GEITableText"/>
              <w:keepNext/>
              <w:jc w:val="center"/>
              <w:rPr>
                <w:rFonts w:cs="Calibri"/>
                <w:color w:val="000000"/>
              </w:rPr>
            </w:pPr>
            <w:r w:rsidRPr="00C50EE9">
              <w:t>118</w:t>
            </w:r>
          </w:p>
        </w:tc>
        <w:tc>
          <w:tcPr>
            <w:tcW w:w="1313" w:type="dxa"/>
            <w:tcBorders>
              <w:top w:val="nil"/>
              <w:left w:val="single" w:sz="4" w:space="0" w:color="5B9BD5" w:themeColor="accent1"/>
              <w:bottom w:val="nil"/>
              <w:right w:val="single" w:sz="4" w:space="0" w:color="5B9BD5" w:themeColor="accent1"/>
            </w:tcBorders>
          </w:tcPr>
          <w:p w14:paraId="0FBD0A19" w14:textId="77777777" w:rsidR="007F1EB1" w:rsidRPr="003E27C0" w:rsidRDefault="007F1EB1" w:rsidP="00444698">
            <w:pPr>
              <w:pStyle w:val="GEITableText"/>
              <w:keepNext/>
              <w:jc w:val="center"/>
            </w:pPr>
            <w:r w:rsidRPr="00D10522">
              <w:t>0.28</w:t>
            </w:r>
          </w:p>
        </w:tc>
        <w:tc>
          <w:tcPr>
            <w:tcW w:w="776" w:type="dxa"/>
            <w:tcBorders>
              <w:top w:val="nil"/>
              <w:left w:val="single" w:sz="4" w:space="0" w:color="5B9BD5" w:themeColor="accent1"/>
              <w:bottom w:val="nil"/>
            </w:tcBorders>
          </w:tcPr>
          <w:p w14:paraId="62391A53" w14:textId="77777777" w:rsidR="007F1EB1" w:rsidRPr="003E27C0" w:rsidRDefault="007F1EB1" w:rsidP="00444698">
            <w:pPr>
              <w:pStyle w:val="GEITableText"/>
              <w:keepNext/>
              <w:jc w:val="center"/>
            </w:pPr>
            <w:r w:rsidRPr="006D57E8">
              <w:t>17.4</w:t>
            </w:r>
          </w:p>
        </w:tc>
        <w:tc>
          <w:tcPr>
            <w:tcW w:w="924" w:type="dxa"/>
            <w:tcBorders>
              <w:top w:val="nil"/>
              <w:bottom w:val="nil"/>
            </w:tcBorders>
          </w:tcPr>
          <w:p w14:paraId="43B3D9AA" w14:textId="77777777" w:rsidR="007F1EB1" w:rsidRPr="003E27C0" w:rsidRDefault="007F1EB1" w:rsidP="00444698">
            <w:pPr>
              <w:pStyle w:val="GEITableText"/>
              <w:keepNext/>
              <w:jc w:val="center"/>
            </w:pPr>
            <w:r w:rsidRPr="006D57E8">
              <w:t>305.5</w:t>
            </w:r>
          </w:p>
        </w:tc>
        <w:tc>
          <w:tcPr>
            <w:tcW w:w="1080" w:type="dxa"/>
            <w:tcBorders>
              <w:top w:val="nil"/>
              <w:bottom w:val="nil"/>
              <w:right w:val="single" w:sz="4" w:space="0" w:color="5B9BD5" w:themeColor="accent1"/>
            </w:tcBorders>
            <w:shd w:val="clear" w:color="auto" w:fill="auto"/>
            <w:noWrap/>
            <w:hideMark/>
          </w:tcPr>
          <w:p w14:paraId="65B21DBB" w14:textId="77777777" w:rsidR="007F1EB1" w:rsidRPr="00090B81" w:rsidRDefault="007F1EB1" w:rsidP="00444698">
            <w:pPr>
              <w:pStyle w:val="GEITableText"/>
              <w:keepNext/>
              <w:jc w:val="center"/>
              <w:rPr>
                <w:rFonts w:cs="Calibri"/>
                <w:color w:val="000000"/>
              </w:rPr>
            </w:pPr>
            <w:r w:rsidRPr="006D57E8">
              <w:t>322.9</w:t>
            </w:r>
          </w:p>
        </w:tc>
        <w:tc>
          <w:tcPr>
            <w:tcW w:w="1382" w:type="dxa"/>
            <w:tcBorders>
              <w:top w:val="nil"/>
              <w:left w:val="single" w:sz="4" w:space="0" w:color="5B9BD5" w:themeColor="accent1"/>
              <w:bottom w:val="nil"/>
            </w:tcBorders>
          </w:tcPr>
          <w:p w14:paraId="7D2B7A01" w14:textId="77777777" w:rsidR="007F1EB1" w:rsidRPr="00871F5E" w:rsidRDefault="007F1EB1" w:rsidP="00444698">
            <w:pPr>
              <w:pStyle w:val="GEITableText"/>
              <w:keepNext/>
              <w:jc w:val="center"/>
            </w:pPr>
            <w:r w:rsidRPr="00D571F0">
              <w:t>42.7</w:t>
            </w:r>
          </w:p>
        </w:tc>
      </w:tr>
      <w:tr w:rsidR="007F1EB1" w:rsidRPr="00090B81" w14:paraId="75078270" w14:textId="77777777" w:rsidTr="007F1EB1">
        <w:trPr>
          <w:trHeight w:val="300"/>
          <w:jc w:val="center"/>
        </w:trPr>
        <w:tc>
          <w:tcPr>
            <w:tcW w:w="2609" w:type="dxa"/>
            <w:tcBorders>
              <w:top w:val="nil"/>
              <w:left w:val="nil"/>
              <w:bottom w:val="nil"/>
              <w:right w:val="nil"/>
            </w:tcBorders>
            <w:shd w:val="clear" w:color="auto" w:fill="auto"/>
            <w:noWrap/>
          </w:tcPr>
          <w:p w14:paraId="46412130" w14:textId="77777777" w:rsidR="007F1EB1" w:rsidRPr="00090B81" w:rsidRDefault="007F1EB1" w:rsidP="00444698">
            <w:pPr>
              <w:pStyle w:val="GEITableText"/>
              <w:keepNext/>
              <w:rPr>
                <w:rFonts w:cs="Calibri"/>
                <w:color w:val="000000"/>
              </w:rPr>
            </w:pPr>
            <w:r w:rsidRPr="0004692B">
              <w:t>Sammamish River Valley</w:t>
            </w:r>
          </w:p>
        </w:tc>
        <w:tc>
          <w:tcPr>
            <w:tcW w:w="1276" w:type="dxa"/>
            <w:tcBorders>
              <w:top w:val="nil"/>
              <w:left w:val="nil"/>
              <w:bottom w:val="nil"/>
              <w:right w:val="single" w:sz="4" w:space="0" w:color="5B9BD5" w:themeColor="accent1"/>
            </w:tcBorders>
            <w:shd w:val="clear" w:color="auto" w:fill="auto"/>
            <w:noWrap/>
          </w:tcPr>
          <w:p w14:paraId="4BA3061A" w14:textId="77777777" w:rsidR="007F1EB1" w:rsidRPr="00090B81" w:rsidRDefault="007F1EB1" w:rsidP="00444698">
            <w:pPr>
              <w:pStyle w:val="GEITableText"/>
              <w:keepNext/>
              <w:jc w:val="center"/>
              <w:rPr>
                <w:rFonts w:cs="Calibri"/>
                <w:color w:val="000000"/>
              </w:rPr>
            </w:pPr>
            <w:r w:rsidRPr="00C50EE9">
              <w:t>8</w:t>
            </w:r>
          </w:p>
        </w:tc>
        <w:tc>
          <w:tcPr>
            <w:tcW w:w="1313" w:type="dxa"/>
            <w:tcBorders>
              <w:top w:val="nil"/>
              <w:left w:val="single" w:sz="4" w:space="0" w:color="5B9BD5" w:themeColor="accent1"/>
              <w:bottom w:val="nil"/>
              <w:right w:val="single" w:sz="4" w:space="0" w:color="5B9BD5" w:themeColor="accent1"/>
            </w:tcBorders>
          </w:tcPr>
          <w:p w14:paraId="482E0137" w14:textId="77777777" w:rsidR="007F1EB1" w:rsidRPr="003E27C0" w:rsidRDefault="007F1EB1" w:rsidP="00444698">
            <w:pPr>
              <w:pStyle w:val="GEITableText"/>
              <w:keepNext/>
              <w:jc w:val="center"/>
            </w:pPr>
            <w:r w:rsidRPr="00D10522">
              <w:t>0.28</w:t>
            </w:r>
            <w:r>
              <w:rPr>
                <w:vertAlign w:val="superscript"/>
              </w:rPr>
              <w:t>‡</w:t>
            </w:r>
          </w:p>
        </w:tc>
        <w:tc>
          <w:tcPr>
            <w:tcW w:w="776" w:type="dxa"/>
            <w:tcBorders>
              <w:top w:val="nil"/>
              <w:left w:val="single" w:sz="4" w:space="0" w:color="5B9BD5" w:themeColor="accent1"/>
              <w:bottom w:val="nil"/>
            </w:tcBorders>
          </w:tcPr>
          <w:p w14:paraId="27F178CB" w14:textId="77777777" w:rsidR="007F1EB1" w:rsidRPr="003E27C0" w:rsidRDefault="007F1EB1" w:rsidP="00444698">
            <w:pPr>
              <w:pStyle w:val="GEITableText"/>
              <w:keepNext/>
              <w:jc w:val="center"/>
            </w:pPr>
            <w:r w:rsidRPr="006D57E8">
              <w:t>16.4</w:t>
            </w:r>
          </w:p>
        </w:tc>
        <w:tc>
          <w:tcPr>
            <w:tcW w:w="924" w:type="dxa"/>
            <w:tcBorders>
              <w:top w:val="nil"/>
              <w:bottom w:val="nil"/>
            </w:tcBorders>
          </w:tcPr>
          <w:p w14:paraId="75B3C71B" w14:textId="77777777" w:rsidR="007F1EB1" w:rsidRPr="003E27C0" w:rsidRDefault="007F1EB1" w:rsidP="00444698">
            <w:pPr>
              <w:pStyle w:val="GEITableText"/>
              <w:keepNext/>
              <w:jc w:val="center"/>
            </w:pPr>
            <w:r w:rsidRPr="006D57E8">
              <w:t>349.0</w:t>
            </w:r>
          </w:p>
        </w:tc>
        <w:tc>
          <w:tcPr>
            <w:tcW w:w="1080" w:type="dxa"/>
            <w:tcBorders>
              <w:top w:val="nil"/>
              <w:bottom w:val="nil"/>
              <w:right w:val="single" w:sz="4" w:space="0" w:color="5B9BD5" w:themeColor="accent1"/>
            </w:tcBorders>
            <w:shd w:val="clear" w:color="auto" w:fill="auto"/>
            <w:noWrap/>
          </w:tcPr>
          <w:p w14:paraId="0CEA3BF7" w14:textId="77777777" w:rsidR="007F1EB1" w:rsidRPr="00090B81" w:rsidRDefault="007F1EB1" w:rsidP="00444698">
            <w:pPr>
              <w:pStyle w:val="GEITableText"/>
              <w:keepNext/>
              <w:jc w:val="center"/>
              <w:rPr>
                <w:rFonts w:cs="Calibri"/>
                <w:color w:val="000000"/>
              </w:rPr>
            </w:pPr>
            <w:r w:rsidRPr="006D57E8">
              <w:t>365.4</w:t>
            </w:r>
          </w:p>
        </w:tc>
        <w:tc>
          <w:tcPr>
            <w:tcW w:w="1382" w:type="dxa"/>
            <w:tcBorders>
              <w:top w:val="nil"/>
              <w:left w:val="single" w:sz="4" w:space="0" w:color="5B9BD5" w:themeColor="accent1"/>
              <w:bottom w:val="nil"/>
            </w:tcBorders>
          </w:tcPr>
          <w:p w14:paraId="110B2E9A" w14:textId="77777777" w:rsidR="007F1EB1" w:rsidRPr="00871F5E" w:rsidRDefault="007F1EB1" w:rsidP="00444698">
            <w:pPr>
              <w:pStyle w:val="GEITableText"/>
              <w:keepNext/>
              <w:jc w:val="center"/>
            </w:pPr>
            <w:r w:rsidRPr="00D571F0">
              <w:t>3.3</w:t>
            </w:r>
          </w:p>
        </w:tc>
      </w:tr>
      <w:tr w:rsidR="007F1EB1" w:rsidRPr="00090B81" w14:paraId="6384A9F4" w14:textId="77777777" w:rsidTr="007F1EB1">
        <w:trPr>
          <w:trHeight w:val="300"/>
          <w:jc w:val="center"/>
        </w:trPr>
        <w:tc>
          <w:tcPr>
            <w:tcW w:w="2609" w:type="dxa"/>
            <w:tcBorders>
              <w:top w:val="nil"/>
              <w:left w:val="nil"/>
              <w:bottom w:val="nil"/>
              <w:right w:val="nil"/>
            </w:tcBorders>
            <w:shd w:val="clear" w:color="auto" w:fill="auto"/>
            <w:noWrap/>
            <w:hideMark/>
          </w:tcPr>
          <w:p w14:paraId="3C24013E" w14:textId="77777777" w:rsidR="007F1EB1" w:rsidRPr="00090B81" w:rsidRDefault="007F1EB1" w:rsidP="00444698">
            <w:pPr>
              <w:pStyle w:val="GEITableText"/>
              <w:keepNext/>
              <w:rPr>
                <w:rFonts w:cs="Calibri"/>
                <w:color w:val="000000"/>
              </w:rPr>
            </w:pPr>
            <w:r w:rsidRPr="0004692B">
              <w:t>Bear/Evans</w:t>
            </w:r>
          </w:p>
        </w:tc>
        <w:tc>
          <w:tcPr>
            <w:tcW w:w="1276" w:type="dxa"/>
            <w:tcBorders>
              <w:top w:val="nil"/>
              <w:left w:val="nil"/>
              <w:bottom w:val="nil"/>
              <w:right w:val="single" w:sz="4" w:space="0" w:color="5B9BD5" w:themeColor="accent1"/>
            </w:tcBorders>
            <w:shd w:val="clear" w:color="auto" w:fill="auto"/>
            <w:noWrap/>
            <w:hideMark/>
          </w:tcPr>
          <w:p w14:paraId="4C50796B" w14:textId="77777777" w:rsidR="007F1EB1" w:rsidRPr="00090B81" w:rsidRDefault="007F1EB1" w:rsidP="00444698">
            <w:pPr>
              <w:pStyle w:val="GEITableText"/>
              <w:keepNext/>
              <w:jc w:val="center"/>
              <w:rPr>
                <w:rFonts w:cs="Calibri"/>
                <w:color w:val="000000"/>
              </w:rPr>
            </w:pPr>
            <w:r w:rsidRPr="00C50EE9">
              <w:t>234</w:t>
            </w:r>
          </w:p>
        </w:tc>
        <w:tc>
          <w:tcPr>
            <w:tcW w:w="1313" w:type="dxa"/>
            <w:tcBorders>
              <w:top w:val="nil"/>
              <w:left w:val="single" w:sz="4" w:space="0" w:color="5B9BD5" w:themeColor="accent1"/>
              <w:bottom w:val="nil"/>
              <w:right w:val="single" w:sz="4" w:space="0" w:color="5B9BD5" w:themeColor="accent1"/>
            </w:tcBorders>
          </w:tcPr>
          <w:p w14:paraId="464EEC2A" w14:textId="77777777" w:rsidR="007F1EB1" w:rsidRPr="003E27C0" w:rsidRDefault="007F1EB1" w:rsidP="00444698">
            <w:pPr>
              <w:pStyle w:val="GEITableText"/>
              <w:keepNext/>
              <w:jc w:val="center"/>
            </w:pPr>
            <w:r w:rsidRPr="00D10522">
              <w:t>0.3</w:t>
            </w:r>
            <w:r>
              <w:t>1</w:t>
            </w:r>
          </w:p>
        </w:tc>
        <w:tc>
          <w:tcPr>
            <w:tcW w:w="776" w:type="dxa"/>
            <w:tcBorders>
              <w:top w:val="nil"/>
              <w:left w:val="single" w:sz="4" w:space="0" w:color="5B9BD5" w:themeColor="accent1"/>
              <w:bottom w:val="nil"/>
            </w:tcBorders>
          </w:tcPr>
          <w:p w14:paraId="5CC6EF7B" w14:textId="77777777" w:rsidR="007F1EB1" w:rsidRPr="003E27C0" w:rsidRDefault="007F1EB1" w:rsidP="00444698">
            <w:pPr>
              <w:pStyle w:val="GEITableText"/>
              <w:keepNext/>
              <w:jc w:val="center"/>
            </w:pPr>
            <w:r w:rsidRPr="006D57E8">
              <w:t>16.8</w:t>
            </w:r>
          </w:p>
        </w:tc>
        <w:tc>
          <w:tcPr>
            <w:tcW w:w="924" w:type="dxa"/>
            <w:tcBorders>
              <w:top w:val="nil"/>
              <w:bottom w:val="nil"/>
            </w:tcBorders>
          </w:tcPr>
          <w:p w14:paraId="56DE34EC" w14:textId="77777777" w:rsidR="007F1EB1" w:rsidRPr="003E27C0" w:rsidRDefault="007F1EB1" w:rsidP="00444698">
            <w:pPr>
              <w:pStyle w:val="GEITableText"/>
              <w:keepNext/>
              <w:jc w:val="center"/>
            </w:pPr>
            <w:r w:rsidRPr="006D57E8">
              <w:t>355.0</w:t>
            </w:r>
          </w:p>
        </w:tc>
        <w:tc>
          <w:tcPr>
            <w:tcW w:w="1080" w:type="dxa"/>
            <w:tcBorders>
              <w:top w:val="nil"/>
              <w:bottom w:val="nil"/>
              <w:right w:val="single" w:sz="4" w:space="0" w:color="5B9BD5" w:themeColor="accent1"/>
            </w:tcBorders>
            <w:shd w:val="clear" w:color="auto" w:fill="auto"/>
            <w:noWrap/>
            <w:hideMark/>
          </w:tcPr>
          <w:p w14:paraId="25A12983" w14:textId="77777777" w:rsidR="007F1EB1" w:rsidRPr="00090B81" w:rsidRDefault="007F1EB1" w:rsidP="00444698">
            <w:pPr>
              <w:pStyle w:val="GEITableText"/>
              <w:keepNext/>
              <w:jc w:val="center"/>
              <w:rPr>
                <w:rFonts w:cs="Calibri"/>
                <w:color w:val="000000"/>
              </w:rPr>
            </w:pPr>
            <w:r w:rsidRPr="006D57E8">
              <w:t>371.8</w:t>
            </w:r>
          </w:p>
        </w:tc>
        <w:tc>
          <w:tcPr>
            <w:tcW w:w="1382" w:type="dxa"/>
            <w:tcBorders>
              <w:top w:val="nil"/>
              <w:left w:val="single" w:sz="4" w:space="0" w:color="5B9BD5" w:themeColor="accent1"/>
              <w:bottom w:val="nil"/>
            </w:tcBorders>
          </w:tcPr>
          <w:p w14:paraId="32C25005" w14:textId="77777777" w:rsidR="007F1EB1" w:rsidRPr="00871F5E" w:rsidRDefault="007F1EB1" w:rsidP="00444698">
            <w:pPr>
              <w:pStyle w:val="GEITableText"/>
              <w:keepNext/>
              <w:jc w:val="center"/>
            </w:pPr>
            <w:r w:rsidRPr="00D571F0">
              <w:t>97.4</w:t>
            </w:r>
          </w:p>
        </w:tc>
      </w:tr>
      <w:tr w:rsidR="007F1EB1" w:rsidRPr="00090B81" w14:paraId="7784C86A" w14:textId="77777777" w:rsidTr="007F1EB1">
        <w:trPr>
          <w:trHeight w:val="300"/>
          <w:jc w:val="center"/>
        </w:trPr>
        <w:tc>
          <w:tcPr>
            <w:tcW w:w="2609" w:type="dxa"/>
            <w:tcBorders>
              <w:top w:val="nil"/>
              <w:left w:val="nil"/>
              <w:bottom w:val="nil"/>
              <w:right w:val="nil"/>
            </w:tcBorders>
            <w:shd w:val="clear" w:color="auto" w:fill="auto"/>
            <w:noWrap/>
            <w:hideMark/>
          </w:tcPr>
          <w:p w14:paraId="7378E32F" w14:textId="77777777" w:rsidR="007F1EB1" w:rsidRPr="00090B81" w:rsidRDefault="007F1EB1" w:rsidP="00444698">
            <w:pPr>
              <w:pStyle w:val="GEITableText"/>
              <w:keepNext/>
              <w:rPr>
                <w:rFonts w:cs="Calibri"/>
                <w:color w:val="000000"/>
              </w:rPr>
            </w:pPr>
            <w:r w:rsidRPr="0004692B">
              <w:t>Greater Lake Washington</w:t>
            </w:r>
          </w:p>
        </w:tc>
        <w:tc>
          <w:tcPr>
            <w:tcW w:w="1276" w:type="dxa"/>
            <w:tcBorders>
              <w:top w:val="nil"/>
              <w:left w:val="nil"/>
              <w:bottom w:val="nil"/>
              <w:right w:val="single" w:sz="4" w:space="0" w:color="5B9BD5" w:themeColor="accent1"/>
            </w:tcBorders>
            <w:shd w:val="clear" w:color="auto" w:fill="auto"/>
            <w:noWrap/>
            <w:hideMark/>
          </w:tcPr>
          <w:p w14:paraId="7FB07157" w14:textId="77777777" w:rsidR="007F1EB1" w:rsidRPr="00090B81" w:rsidRDefault="007F1EB1" w:rsidP="00444698">
            <w:pPr>
              <w:pStyle w:val="GEITableText"/>
              <w:keepNext/>
              <w:jc w:val="center"/>
              <w:rPr>
                <w:rFonts w:cs="Calibri"/>
                <w:color w:val="000000"/>
              </w:rPr>
            </w:pPr>
            <w:r w:rsidRPr="00C50EE9">
              <w:t>4</w:t>
            </w:r>
          </w:p>
        </w:tc>
        <w:tc>
          <w:tcPr>
            <w:tcW w:w="1313" w:type="dxa"/>
            <w:tcBorders>
              <w:top w:val="nil"/>
              <w:left w:val="single" w:sz="4" w:space="0" w:color="5B9BD5" w:themeColor="accent1"/>
              <w:bottom w:val="nil"/>
              <w:right w:val="single" w:sz="4" w:space="0" w:color="5B9BD5" w:themeColor="accent1"/>
            </w:tcBorders>
          </w:tcPr>
          <w:p w14:paraId="2EF90CC5" w14:textId="77777777" w:rsidR="007F1EB1" w:rsidRPr="003E27C0" w:rsidRDefault="007F1EB1" w:rsidP="00444698">
            <w:pPr>
              <w:pStyle w:val="GEITableText"/>
              <w:keepNext/>
              <w:jc w:val="center"/>
            </w:pPr>
            <w:r w:rsidRPr="00D10522">
              <w:t>0.28</w:t>
            </w:r>
            <w:r w:rsidRPr="00D9758E">
              <w:rPr>
                <w:vertAlign w:val="superscript"/>
              </w:rPr>
              <w:t>†</w:t>
            </w:r>
          </w:p>
        </w:tc>
        <w:tc>
          <w:tcPr>
            <w:tcW w:w="776" w:type="dxa"/>
            <w:tcBorders>
              <w:top w:val="nil"/>
              <w:left w:val="single" w:sz="4" w:space="0" w:color="5B9BD5" w:themeColor="accent1"/>
              <w:bottom w:val="nil"/>
            </w:tcBorders>
          </w:tcPr>
          <w:p w14:paraId="236BA647" w14:textId="77777777" w:rsidR="007F1EB1" w:rsidRPr="003E27C0" w:rsidRDefault="007F1EB1" w:rsidP="00444698">
            <w:pPr>
              <w:pStyle w:val="GEITableText"/>
              <w:keepNext/>
              <w:jc w:val="center"/>
            </w:pPr>
            <w:r w:rsidRPr="006D57E8">
              <w:t>16.4</w:t>
            </w:r>
          </w:p>
        </w:tc>
        <w:tc>
          <w:tcPr>
            <w:tcW w:w="924" w:type="dxa"/>
            <w:tcBorders>
              <w:top w:val="nil"/>
              <w:bottom w:val="nil"/>
            </w:tcBorders>
          </w:tcPr>
          <w:p w14:paraId="73D6BAEC" w14:textId="77777777" w:rsidR="007F1EB1" w:rsidRPr="003E27C0" w:rsidRDefault="007F1EB1" w:rsidP="00444698">
            <w:pPr>
              <w:pStyle w:val="GEITableText"/>
              <w:keepNext/>
              <w:jc w:val="center"/>
            </w:pPr>
            <w:r w:rsidRPr="006D57E8">
              <w:t>377.0</w:t>
            </w:r>
          </w:p>
        </w:tc>
        <w:tc>
          <w:tcPr>
            <w:tcW w:w="1080" w:type="dxa"/>
            <w:tcBorders>
              <w:top w:val="nil"/>
              <w:bottom w:val="nil"/>
              <w:right w:val="single" w:sz="4" w:space="0" w:color="5B9BD5" w:themeColor="accent1"/>
            </w:tcBorders>
            <w:shd w:val="clear" w:color="auto" w:fill="auto"/>
            <w:noWrap/>
            <w:hideMark/>
          </w:tcPr>
          <w:p w14:paraId="0FCDD45E" w14:textId="77777777" w:rsidR="007F1EB1" w:rsidRPr="00090B81" w:rsidRDefault="007F1EB1" w:rsidP="00444698">
            <w:pPr>
              <w:pStyle w:val="GEITableText"/>
              <w:keepNext/>
              <w:jc w:val="center"/>
              <w:rPr>
                <w:rFonts w:cs="Calibri"/>
                <w:color w:val="000000"/>
              </w:rPr>
            </w:pPr>
            <w:r w:rsidRPr="006D57E8">
              <w:t>393.4</w:t>
            </w:r>
          </w:p>
        </w:tc>
        <w:tc>
          <w:tcPr>
            <w:tcW w:w="1382" w:type="dxa"/>
            <w:tcBorders>
              <w:top w:val="nil"/>
              <w:left w:val="single" w:sz="4" w:space="0" w:color="5B9BD5" w:themeColor="accent1"/>
              <w:bottom w:val="nil"/>
            </w:tcBorders>
          </w:tcPr>
          <w:p w14:paraId="6658CB86" w14:textId="77777777" w:rsidR="007F1EB1" w:rsidRPr="00871F5E" w:rsidRDefault="007F1EB1" w:rsidP="00444698">
            <w:pPr>
              <w:pStyle w:val="GEITableText"/>
              <w:keepNext/>
              <w:jc w:val="center"/>
            </w:pPr>
            <w:r w:rsidRPr="00D571F0">
              <w:t>1.8</w:t>
            </w:r>
          </w:p>
        </w:tc>
      </w:tr>
      <w:tr w:rsidR="007F1EB1" w:rsidRPr="00090B81" w14:paraId="1E7C1EA5" w14:textId="77777777" w:rsidTr="007F1EB1">
        <w:trPr>
          <w:trHeight w:val="300"/>
          <w:jc w:val="center"/>
        </w:trPr>
        <w:tc>
          <w:tcPr>
            <w:tcW w:w="2609" w:type="dxa"/>
            <w:tcBorders>
              <w:top w:val="nil"/>
              <w:left w:val="nil"/>
              <w:bottom w:val="nil"/>
              <w:right w:val="nil"/>
            </w:tcBorders>
            <w:shd w:val="clear" w:color="auto" w:fill="auto"/>
            <w:noWrap/>
            <w:hideMark/>
          </w:tcPr>
          <w:p w14:paraId="3C098A90" w14:textId="77777777" w:rsidR="007F1EB1" w:rsidRPr="00090B81" w:rsidRDefault="007F1EB1" w:rsidP="00444698">
            <w:pPr>
              <w:pStyle w:val="GEITableText"/>
              <w:keepNext/>
              <w:rPr>
                <w:rFonts w:cs="Calibri"/>
                <w:color w:val="000000"/>
              </w:rPr>
            </w:pPr>
            <w:r w:rsidRPr="0004692B">
              <w:t>May/Coal</w:t>
            </w:r>
          </w:p>
        </w:tc>
        <w:tc>
          <w:tcPr>
            <w:tcW w:w="1276" w:type="dxa"/>
            <w:tcBorders>
              <w:top w:val="nil"/>
              <w:left w:val="nil"/>
              <w:bottom w:val="nil"/>
              <w:right w:val="single" w:sz="4" w:space="0" w:color="5B9BD5" w:themeColor="accent1"/>
            </w:tcBorders>
            <w:shd w:val="clear" w:color="auto" w:fill="auto"/>
            <w:noWrap/>
            <w:hideMark/>
          </w:tcPr>
          <w:p w14:paraId="55157A1F" w14:textId="77777777" w:rsidR="007F1EB1" w:rsidRPr="00090B81" w:rsidRDefault="007F1EB1" w:rsidP="00444698">
            <w:pPr>
              <w:pStyle w:val="GEITableText"/>
              <w:keepNext/>
              <w:jc w:val="center"/>
              <w:rPr>
                <w:rFonts w:cs="Calibri"/>
                <w:color w:val="000000"/>
              </w:rPr>
            </w:pPr>
            <w:r w:rsidRPr="00C50EE9">
              <w:t>15</w:t>
            </w:r>
          </w:p>
        </w:tc>
        <w:tc>
          <w:tcPr>
            <w:tcW w:w="1313" w:type="dxa"/>
            <w:tcBorders>
              <w:top w:val="nil"/>
              <w:left w:val="single" w:sz="4" w:space="0" w:color="5B9BD5" w:themeColor="accent1"/>
              <w:bottom w:val="nil"/>
              <w:right w:val="single" w:sz="4" w:space="0" w:color="5B9BD5" w:themeColor="accent1"/>
            </w:tcBorders>
          </w:tcPr>
          <w:p w14:paraId="33FADFDD" w14:textId="77777777" w:rsidR="007F1EB1" w:rsidRPr="003E27C0" w:rsidRDefault="007F1EB1" w:rsidP="00444698">
            <w:pPr>
              <w:pStyle w:val="GEITableText"/>
              <w:keepNext/>
              <w:jc w:val="center"/>
            </w:pPr>
            <w:r w:rsidRPr="00D10522">
              <w:t>0.33</w:t>
            </w:r>
            <w:r>
              <w:rPr>
                <w:vertAlign w:val="superscript"/>
              </w:rPr>
              <w:t>‡</w:t>
            </w:r>
          </w:p>
        </w:tc>
        <w:tc>
          <w:tcPr>
            <w:tcW w:w="776" w:type="dxa"/>
            <w:tcBorders>
              <w:top w:val="nil"/>
              <w:left w:val="single" w:sz="4" w:space="0" w:color="5B9BD5" w:themeColor="accent1"/>
              <w:bottom w:val="nil"/>
            </w:tcBorders>
          </w:tcPr>
          <w:p w14:paraId="3A6AEAA4" w14:textId="77777777" w:rsidR="007F1EB1" w:rsidRPr="003E27C0" w:rsidRDefault="007F1EB1" w:rsidP="00444698">
            <w:pPr>
              <w:pStyle w:val="GEITableText"/>
              <w:keepNext/>
              <w:jc w:val="center"/>
            </w:pPr>
            <w:r w:rsidRPr="006D57E8">
              <w:t>16.4</w:t>
            </w:r>
          </w:p>
        </w:tc>
        <w:tc>
          <w:tcPr>
            <w:tcW w:w="924" w:type="dxa"/>
            <w:tcBorders>
              <w:top w:val="nil"/>
              <w:bottom w:val="nil"/>
            </w:tcBorders>
          </w:tcPr>
          <w:p w14:paraId="32B868C0" w14:textId="77777777" w:rsidR="007F1EB1" w:rsidRPr="003E27C0" w:rsidRDefault="007F1EB1" w:rsidP="00444698">
            <w:pPr>
              <w:pStyle w:val="GEITableText"/>
              <w:keepNext/>
              <w:jc w:val="center"/>
            </w:pPr>
            <w:r w:rsidRPr="006D57E8">
              <w:t>426.8</w:t>
            </w:r>
          </w:p>
        </w:tc>
        <w:tc>
          <w:tcPr>
            <w:tcW w:w="1080" w:type="dxa"/>
            <w:tcBorders>
              <w:top w:val="nil"/>
              <w:bottom w:val="nil"/>
              <w:right w:val="single" w:sz="4" w:space="0" w:color="5B9BD5" w:themeColor="accent1"/>
            </w:tcBorders>
            <w:shd w:val="clear" w:color="auto" w:fill="auto"/>
            <w:noWrap/>
            <w:hideMark/>
          </w:tcPr>
          <w:p w14:paraId="6797590D" w14:textId="77777777" w:rsidR="007F1EB1" w:rsidRPr="00090B81" w:rsidRDefault="007F1EB1" w:rsidP="00444698">
            <w:pPr>
              <w:pStyle w:val="GEITableText"/>
              <w:keepNext/>
              <w:jc w:val="center"/>
              <w:rPr>
                <w:rFonts w:cs="Calibri"/>
                <w:color w:val="000000"/>
              </w:rPr>
            </w:pPr>
            <w:r w:rsidRPr="006D57E8">
              <w:t>443.2</w:t>
            </w:r>
          </w:p>
        </w:tc>
        <w:tc>
          <w:tcPr>
            <w:tcW w:w="1382" w:type="dxa"/>
            <w:tcBorders>
              <w:top w:val="nil"/>
              <w:left w:val="single" w:sz="4" w:space="0" w:color="5B9BD5" w:themeColor="accent1"/>
              <w:bottom w:val="nil"/>
            </w:tcBorders>
          </w:tcPr>
          <w:p w14:paraId="3440369E" w14:textId="77777777" w:rsidR="007F1EB1" w:rsidRPr="00871F5E" w:rsidRDefault="007F1EB1" w:rsidP="00444698">
            <w:pPr>
              <w:pStyle w:val="GEITableText"/>
              <w:keepNext/>
              <w:jc w:val="center"/>
            </w:pPr>
            <w:r w:rsidRPr="00D571F0">
              <w:t>7.4</w:t>
            </w:r>
          </w:p>
        </w:tc>
      </w:tr>
      <w:tr w:rsidR="007F1EB1" w:rsidRPr="00090B81" w14:paraId="4ECFA994" w14:textId="77777777" w:rsidTr="007F1EB1">
        <w:trPr>
          <w:trHeight w:val="300"/>
          <w:jc w:val="center"/>
        </w:trPr>
        <w:tc>
          <w:tcPr>
            <w:tcW w:w="2609" w:type="dxa"/>
            <w:tcBorders>
              <w:top w:val="nil"/>
              <w:left w:val="nil"/>
              <w:bottom w:val="nil"/>
              <w:right w:val="nil"/>
            </w:tcBorders>
            <w:shd w:val="clear" w:color="auto" w:fill="auto"/>
            <w:noWrap/>
          </w:tcPr>
          <w:p w14:paraId="1AB07237" w14:textId="77777777" w:rsidR="007F1EB1" w:rsidRPr="004511E7" w:rsidRDefault="007F1EB1" w:rsidP="00444698">
            <w:pPr>
              <w:pStyle w:val="GEITableText"/>
              <w:keepNext/>
            </w:pPr>
            <w:r w:rsidRPr="0004692B">
              <w:t>Lake Sammamish Creeks</w:t>
            </w:r>
          </w:p>
        </w:tc>
        <w:tc>
          <w:tcPr>
            <w:tcW w:w="1276" w:type="dxa"/>
            <w:tcBorders>
              <w:top w:val="nil"/>
              <w:left w:val="nil"/>
              <w:bottom w:val="nil"/>
              <w:right w:val="single" w:sz="4" w:space="0" w:color="5B9BD5" w:themeColor="accent1"/>
            </w:tcBorders>
            <w:shd w:val="clear" w:color="auto" w:fill="auto"/>
            <w:noWrap/>
          </w:tcPr>
          <w:p w14:paraId="7E1A6C63" w14:textId="77777777" w:rsidR="007F1EB1" w:rsidRPr="004511E7" w:rsidRDefault="007F1EB1" w:rsidP="00444698">
            <w:pPr>
              <w:pStyle w:val="GEITableText"/>
              <w:keepNext/>
              <w:jc w:val="center"/>
            </w:pPr>
            <w:r w:rsidRPr="00C50EE9">
              <w:t>6</w:t>
            </w:r>
          </w:p>
        </w:tc>
        <w:tc>
          <w:tcPr>
            <w:tcW w:w="1313" w:type="dxa"/>
            <w:tcBorders>
              <w:top w:val="nil"/>
              <w:left w:val="single" w:sz="4" w:space="0" w:color="5B9BD5" w:themeColor="accent1"/>
              <w:bottom w:val="nil"/>
              <w:right w:val="single" w:sz="4" w:space="0" w:color="5B9BD5" w:themeColor="accent1"/>
            </w:tcBorders>
          </w:tcPr>
          <w:p w14:paraId="56BD0BF2" w14:textId="77777777" w:rsidR="007F1EB1" w:rsidRPr="004511E7" w:rsidRDefault="007F1EB1" w:rsidP="00444698">
            <w:pPr>
              <w:pStyle w:val="GEITableText"/>
              <w:keepNext/>
              <w:jc w:val="center"/>
            </w:pPr>
            <w:r w:rsidRPr="00D10522">
              <w:t>0.31</w:t>
            </w:r>
            <w:r>
              <w:rPr>
                <w:vertAlign w:val="superscript"/>
              </w:rPr>
              <w:t>‡</w:t>
            </w:r>
          </w:p>
        </w:tc>
        <w:tc>
          <w:tcPr>
            <w:tcW w:w="776" w:type="dxa"/>
            <w:tcBorders>
              <w:top w:val="nil"/>
              <w:left w:val="single" w:sz="4" w:space="0" w:color="5B9BD5" w:themeColor="accent1"/>
              <w:bottom w:val="nil"/>
            </w:tcBorders>
          </w:tcPr>
          <w:p w14:paraId="2D803807" w14:textId="77777777" w:rsidR="007F1EB1" w:rsidRPr="004511E7" w:rsidRDefault="007F1EB1" w:rsidP="00444698">
            <w:pPr>
              <w:pStyle w:val="GEITableText"/>
              <w:keepNext/>
              <w:jc w:val="center"/>
            </w:pPr>
            <w:r w:rsidRPr="006D57E8">
              <w:t>16.4</w:t>
            </w:r>
          </w:p>
        </w:tc>
        <w:tc>
          <w:tcPr>
            <w:tcW w:w="924" w:type="dxa"/>
            <w:tcBorders>
              <w:top w:val="nil"/>
              <w:bottom w:val="nil"/>
            </w:tcBorders>
          </w:tcPr>
          <w:p w14:paraId="2AF23AB6" w14:textId="77777777" w:rsidR="007F1EB1" w:rsidRPr="004511E7" w:rsidRDefault="007F1EB1" w:rsidP="00444698">
            <w:pPr>
              <w:pStyle w:val="GEITableText"/>
              <w:keepNext/>
              <w:jc w:val="center"/>
            </w:pPr>
            <w:r w:rsidRPr="006D57E8">
              <w:t>382.0</w:t>
            </w:r>
          </w:p>
        </w:tc>
        <w:tc>
          <w:tcPr>
            <w:tcW w:w="1080" w:type="dxa"/>
            <w:tcBorders>
              <w:top w:val="nil"/>
              <w:bottom w:val="nil"/>
              <w:right w:val="single" w:sz="4" w:space="0" w:color="5B9BD5" w:themeColor="accent1"/>
            </w:tcBorders>
            <w:shd w:val="clear" w:color="auto" w:fill="auto"/>
            <w:noWrap/>
          </w:tcPr>
          <w:p w14:paraId="29C32D9D" w14:textId="77777777" w:rsidR="007F1EB1" w:rsidRPr="004511E7" w:rsidRDefault="007F1EB1" w:rsidP="00444698">
            <w:pPr>
              <w:pStyle w:val="GEITableText"/>
              <w:keepNext/>
              <w:jc w:val="center"/>
            </w:pPr>
            <w:r w:rsidRPr="006D57E8">
              <w:t>398.4</w:t>
            </w:r>
          </w:p>
        </w:tc>
        <w:tc>
          <w:tcPr>
            <w:tcW w:w="1382" w:type="dxa"/>
            <w:tcBorders>
              <w:top w:val="nil"/>
              <w:left w:val="single" w:sz="4" w:space="0" w:color="5B9BD5" w:themeColor="accent1"/>
              <w:bottom w:val="nil"/>
            </w:tcBorders>
          </w:tcPr>
          <w:p w14:paraId="3FB99D2D" w14:textId="77777777" w:rsidR="007F1EB1" w:rsidRPr="00871F5E" w:rsidRDefault="007F1EB1" w:rsidP="00444698">
            <w:pPr>
              <w:pStyle w:val="GEITableText"/>
              <w:keepNext/>
              <w:jc w:val="center"/>
              <w:rPr>
                <w:rFonts w:cs="Calibri"/>
              </w:rPr>
            </w:pPr>
            <w:r w:rsidRPr="00D571F0">
              <w:t>2.7</w:t>
            </w:r>
          </w:p>
        </w:tc>
      </w:tr>
      <w:tr w:rsidR="007F1EB1" w:rsidRPr="00090B81" w14:paraId="30F42CF8" w14:textId="77777777" w:rsidTr="007F1EB1">
        <w:trPr>
          <w:trHeight w:val="300"/>
          <w:jc w:val="center"/>
        </w:trPr>
        <w:tc>
          <w:tcPr>
            <w:tcW w:w="2609" w:type="dxa"/>
            <w:tcBorders>
              <w:top w:val="nil"/>
              <w:left w:val="nil"/>
              <w:bottom w:val="nil"/>
              <w:right w:val="nil"/>
            </w:tcBorders>
            <w:shd w:val="clear" w:color="auto" w:fill="auto"/>
            <w:noWrap/>
            <w:hideMark/>
          </w:tcPr>
          <w:p w14:paraId="0FA971A1" w14:textId="77777777" w:rsidR="007F1EB1" w:rsidRPr="00090B81" w:rsidRDefault="007F1EB1" w:rsidP="00444698">
            <w:pPr>
              <w:pStyle w:val="GEITableText"/>
              <w:keepNext/>
              <w:rPr>
                <w:rFonts w:cs="Calibri"/>
                <w:color w:val="000000"/>
              </w:rPr>
            </w:pPr>
            <w:r w:rsidRPr="0004692B">
              <w:t>Issaquah</w:t>
            </w:r>
          </w:p>
        </w:tc>
        <w:tc>
          <w:tcPr>
            <w:tcW w:w="1276" w:type="dxa"/>
            <w:tcBorders>
              <w:top w:val="nil"/>
              <w:left w:val="nil"/>
              <w:bottom w:val="nil"/>
              <w:right w:val="single" w:sz="4" w:space="0" w:color="5B9BD5" w:themeColor="accent1"/>
            </w:tcBorders>
            <w:shd w:val="clear" w:color="auto" w:fill="auto"/>
            <w:noWrap/>
            <w:hideMark/>
          </w:tcPr>
          <w:p w14:paraId="7278DF50" w14:textId="77777777" w:rsidR="007F1EB1" w:rsidRPr="00090B81" w:rsidRDefault="007F1EB1" w:rsidP="00444698">
            <w:pPr>
              <w:pStyle w:val="GEITableText"/>
              <w:keepNext/>
              <w:jc w:val="center"/>
              <w:rPr>
                <w:rFonts w:cs="Calibri"/>
                <w:color w:val="000000"/>
              </w:rPr>
            </w:pPr>
            <w:r w:rsidRPr="00C50EE9">
              <w:t>235</w:t>
            </w:r>
          </w:p>
        </w:tc>
        <w:tc>
          <w:tcPr>
            <w:tcW w:w="1313" w:type="dxa"/>
            <w:tcBorders>
              <w:top w:val="nil"/>
              <w:left w:val="single" w:sz="4" w:space="0" w:color="5B9BD5" w:themeColor="accent1"/>
              <w:bottom w:val="nil"/>
              <w:right w:val="single" w:sz="4" w:space="0" w:color="5B9BD5" w:themeColor="accent1"/>
            </w:tcBorders>
          </w:tcPr>
          <w:p w14:paraId="221BF840" w14:textId="77777777" w:rsidR="007F1EB1" w:rsidRPr="003E27C0" w:rsidRDefault="007F1EB1" w:rsidP="00444698">
            <w:pPr>
              <w:pStyle w:val="GEITableText"/>
              <w:keepNext/>
              <w:jc w:val="center"/>
            </w:pPr>
            <w:r w:rsidRPr="00D10522">
              <w:t>0.37</w:t>
            </w:r>
          </w:p>
        </w:tc>
        <w:tc>
          <w:tcPr>
            <w:tcW w:w="776" w:type="dxa"/>
            <w:tcBorders>
              <w:top w:val="nil"/>
              <w:left w:val="single" w:sz="4" w:space="0" w:color="5B9BD5" w:themeColor="accent1"/>
              <w:bottom w:val="nil"/>
            </w:tcBorders>
          </w:tcPr>
          <w:p w14:paraId="260F7037" w14:textId="77777777" w:rsidR="007F1EB1" w:rsidRPr="003E27C0" w:rsidRDefault="007F1EB1" w:rsidP="00444698">
            <w:pPr>
              <w:pStyle w:val="GEITableText"/>
              <w:keepNext/>
              <w:jc w:val="center"/>
            </w:pPr>
            <w:r w:rsidRPr="006D57E8">
              <w:t>16.4</w:t>
            </w:r>
          </w:p>
        </w:tc>
        <w:tc>
          <w:tcPr>
            <w:tcW w:w="924" w:type="dxa"/>
            <w:tcBorders>
              <w:top w:val="nil"/>
              <w:bottom w:val="nil"/>
            </w:tcBorders>
          </w:tcPr>
          <w:p w14:paraId="3950B3F7" w14:textId="77777777" w:rsidR="007F1EB1" w:rsidRPr="003E27C0" w:rsidRDefault="007F1EB1" w:rsidP="00444698">
            <w:pPr>
              <w:pStyle w:val="GEITableText"/>
              <w:keepNext/>
              <w:jc w:val="center"/>
            </w:pPr>
            <w:r w:rsidRPr="006D57E8">
              <w:t>435.1</w:t>
            </w:r>
          </w:p>
        </w:tc>
        <w:tc>
          <w:tcPr>
            <w:tcW w:w="1080" w:type="dxa"/>
            <w:tcBorders>
              <w:top w:val="nil"/>
              <w:bottom w:val="nil"/>
              <w:right w:val="single" w:sz="4" w:space="0" w:color="5B9BD5" w:themeColor="accent1"/>
            </w:tcBorders>
            <w:shd w:val="clear" w:color="auto" w:fill="auto"/>
            <w:noWrap/>
            <w:hideMark/>
          </w:tcPr>
          <w:p w14:paraId="6814D73B" w14:textId="77777777" w:rsidR="007F1EB1" w:rsidRPr="00090B81" w:rsidRDefault="007F1EB1" w:rsidP="00444698">
            <w:pPr>
              <w:pStyle w:val="GEITableText"/>
              <w:keepNext/>
              <w:jc w:val="center"/>
              <w:rPr>
                <w:rFonts w:cs="Calibri"/>
                <w:color w:val="000000"/>
              </w:rPr>
            </w:pPr>
            <w:r w:rsidRPr="006D57E8">
              <w:t>451.5</w:t>
            </w:r>
          </w:p>
        </w:tc>
        <w:tc>
          <w:tcPr>
            <w:tcW w:w="1382" w:type="dxa"/>
            <w:tcBorders>
              <w:top w:val="nil"/>
              <w:left w:val="single" w:sz="4" w:space="0" w:color="5B9BD5" w:themeColor="accent1"/>
              <w:bottom w:val="nil"/>
            </w:tcBorders>
          </w:tcPr>
          <w:p w14:paraId="0291DDBC" w14:textId="77777777" w:rsidR="007F1EB1" w:rsidRPr="00871F5E" w:rsidRDefault="007F1EB1" w:rsidP="00444698">
            <w:pPr>
              <w:pStyle w:val="GEITableText"/>
              <w:keepNext/>
              <w:jc w:val="center"/>
            </w:pPr>
            <w:r w:rsidRPr="00D571F0">
              <w:t>118.9</w:t>
            </w:r>
          </w:p>
        </w:tc>
      </w:tr>
      <w:tr w:rsidR="007F1EB1" w:rsidRPr="00090B81" w14:paraId="55AB046A" w14:textId="77777777" w:rsidTr="007F1EB1">
        <w:trPr>
          <w:trHeight w:val="300"/>
          <w:jc w:val="center"/>
        </w:trPr>
        <w:tc>
          <w:tcPr>
            <w:tcW w:w="2609" w:type="dxa"/>
            <w:tcBorders>
              <w:top w:val="nil"/>
              <w:left w:val="nil"/>
              <w:bottom w:val="nil"/>
              <w:right w:val="nil"/>
            </w:tcBorders>
            <w:shd w:val="clear" w:color="auto" w:fill="auto"/>
            <w:noWrap/>
            <w:hideMark/>
          </w:tcPr>
          <w:p w14:paraId="226DFE5D" w14:textId="77777777" w:rsidR="007F1EB1" w:rsidRPr="00090B81" w:rsidRDefault="007F1EB1" w:rsidP="00444698">
            <w:pPr>
              <w:pStyle w:val="GEITableText"/>
              <w:keepNext/>
              <w:rPr>
                <w:rFonts w:cs="Calibri"/>
                <w:color w:val="000000"/>
              </w:rPr>
            </w:pPr>
            <w:r w:rsidRPr="0004692B">
              <w:t>Lower Cedar</w:t>
            </w:r>
          </w:p>
        </w:tc>
        <w:tc>
          <w:tcPr>
            <w:tcW w:w="1276" w:type="dxa"/>
            <w:tcBorders>
              <w:top w:val="nil"/>
              <w:left w:val="nil"/>
              <w:bottom w:val="nil"/>
              <w:right w:val="single" w:sz="4" w:space="0" w:color="5B9BD5" w:themeColor="accent1"/>
            </w:tcBorders>
            <w:shd w:val="clear" w:color="auto" w:fill="auto"/>
            <w:noWrap/>
            <w:hideMark/>
          </w:tcPr>
          <w:p w14:paraId="70C3FF36" w14:textId="77777777" w:rsidR="007F1EB1" w:rsidRPr="00090B81" w:rsidRDefault="007F1EB1" w:rsidP="00444698">
            <w:pPr>
              <w:pStyle w:val="GEITableText"/>
              <w:keepNext/>
              <w:jc w:val="center"/>
              <w:rPr>
                <w:rFonts w:cs="Calibri"/>
                <w:color w:val="000000"/>
              </w:rPr>
            </w:pPr>
            <w:r w:rsidRPr="00C50EE9">
              <w:t>340</w:t>
            </w:r>
          </w:p>
        </w:tc>
        <w:tc>
          <w:tcPr>
            <w:tcW w:w="1313" w:type="dxa"/>
            <w:tcBorders>
              <w:top w:val="nil"/>
              <w:left w:val="single" w:sz="4" w:space="0" w:color="5B9BD5" w:themeColor="accent1"/>
              <w:bottom w:val="single" w:sz="4" w:space="0" w:color="5B9BD5" w:themeColor="accent1"/>
              <w:right w:val="single" w:sz="4" w:space="0" w:color="5B9BD5" w:themeColor="accent1"/>
            </w:tcBorders>
          </w:tcPr>
          <w:p w14:paraId="2A22BB1F" w14:textId="77777777" w:rsidR="007F1EB1" w:rsidRPr="003E27C0" w:rsidRDefault="007F1EB1" w:rsidP="00444698">
            <w:pPr>
              <w:pStyle w:val="GEITableText"/>
              <w:keepNext/>
              <w:jc w:val="center"/>
            </w:pPr>
            <w:r w:rsidRPr="00D10522">
              <w:t>0.33</w:t>
            </w:r>
          </w:p>
        </w:tc>
        <w:tc>
          <w:tcPr>
            <w:tcW w:w="776" w:type="dxa"/>
            <w:tcBorders>
              <w:top w:val="nil"/>
              <w:left w:val="single" w:sz="4" w:space="0" w:color="5B9BD5" w:themeColor="accent1"/>
              <w:bottom w:val="single" w:sz="4" w:space="0" w:color="5B9BD5" w:themeColor="accent1"/>
            </w:tcBorders>
          </w:tcPr>
          <w:p w14:paraId="11715B86" w14:textId="77777777" w:rsidR="007F1EB1" w:rsidRPr="003E27C0" w:rsidRDefault="007F1EB1" w:rsidP="00444698">
            <w:pPr>
              <w:pStyle w:val="GEITableText"/>
              <w:keepNext/>
              <w:jc w:val="center"/>
            </w:pPr>
            <w:r w:rsidRPr="006D57E8">
              <w:t>16.4</w:t>
            </w:r>
          </w:p>
        </w:tc>
        <w:tc>
          <w:tcPr>
            <w:tcW w:w="924" w:type="dxa"/>
            <w:tcBorders>
              <w:top w:val="nil"/>
              <w:bottom w:val="single" w:sz="4" w:space="0" w:color="5B9BD5" w:themeColor="accent1"/>
            </w:tcBorders>
          </w:tcPr>
          <w:p w14:paraId="44D0CD31" w14:textId="77777777" w:rsidR="007F1EB1" w:rsidRPr="003E27C0" w:rsidRDefault="007F1EB1" w:rsidP="00444698">
            <w:pPr>
              <w:pStyle w:val="GEITableText"/>
              <w:keepNext/>
              <w:jc w:val="center"/>
            </w:pPr>
            <w:r w:rsidRPr="006D57E8">
              <w:t>409.3</w:t>
            </w:r>
          </w:p>
        </w:tc>
        <w:tc>
          <w:tcPr>
            <w:tcW w:w="1080" w:type="dxa"/>
            <w:tcBorders>
              <w:top w:val="nil"/>
              <w:bottom w:val="single" w:sz="4" w:space="0" w:color="5B9BD5" w:themeColor="accent1"/>
              <w:right w:val="single" w:sz="4" w:space="0" w:color="5B9BD5" w:themeColor="accent1"/>
            </w:tcBorders>
            <w:shd w:val="clear" w:color="auto" w:fill="auto"/>
            <w:noWrap/>
            <w:hideMark/>
          </w:tcPr>
          <w:p w14:paraId="195C9C68" w14:textId="77777777" w:rsidR="007F1EB1" w:rsidRPr="00090B81" w:rsidRDefault="007F1EB1" w:rsidP="00444698">
            <w:pPr>
              <w:pStyle w:val="GEITableText"/>
              <w:keepNext/>
              <w:jc w:val="center"/>
              <w:rPr>
                <w:rFonts w:cs="Calibri"/>
                <w:color w:val="000000"/>
              </w:rPr>
            </w:pPr>
            <w:r w:rsidRPr="006D57E8">
              <w:t>425.7</w:t>
            </w:r>
          </w:p>
        </w:tc>
        <w:tc>
          <w:tcPr>
            <w:tcW w:w="1382" w:type="dxa"/>
            <w:tcBorders>
              <w:top w:val="nil"/>
              <w:left w:val="single" w:sz="4" w:space="0" w:color="5B9BD5" w:themeColor="accent1"/>
              <w:bottom w:val="single" w:sz="4" w:space="0" w:color="5B9BD5" w:themeColor="accent1"/>
            </w:tcBorders>
          </w:tcPr>
          <w:p w14:paraId="10E8FFD3" w14:textId="77777777" w:rsidR="007F1EB1" w:rsidRPr="00871F5E" w:rsidRDefault="007F1EB1" w:rsidP="00444698">
            <w:pPr>
              <w:pStyle w:val="GEITableText"/>
              <w:keepNext/>
              <w:jc w:val="center"/>
            </w:pPr>
            <w:r w:rsidRPr="00D571F0">
              <w:t>162.1</w:t>
            </w:r>
          </w:p>
        </w:tc>
      </w:tr>
      <w:tr w:rsidR="007F1EB1" w:rsidRPr="001202A3" w14:paraId="0B6FB8B8" w14:textId="77777777" w:rsidTr="007F1EB1">
        <w:trPr>
          <w:trHeight w:val="300"/>
          <w:jc w:val="center"/>
        </w:trPr>
        <w:tc>
          <w:tcPr>
            <w:tcW w:w="2609" w:type="dxa"/>
            <w:tcBorders>
              <w:top w:val="single" w:sz="4" w:space="0" w:color="8EA9DB"/>
              <w:left w:val="nil"/>
              <w:bottom w:val="nil"/>
              <w:right w:val="nil"/>
            </w:tcBorders>
            <w:shd w:val="clear" w:color="D9E1F2" w:fill="D9E1F2"/>
            <w:noWrap/>
            <w:hideMark/>
          </w:tcPr>
          <w:p w14:paraId="1CD52A48" w14:textId="77777777" w:rsidR="007F1EB1" w:rsidRPr="001202A3" w:rsidRDefault="007F1EB1" w:rsidP="00444698">
            <w:pPr>
              <w:pStyle w:val="GEITableText"/>
              <w:keepNext/>
              <w:rPr>
                <w:rFonts w:cs="Calibri"/>
                <w:b/>
                <w:bCs/>
                <w:color w:val="000000"/>
              </w:rPr>
            </w:pPr>
            <w:r w:rsidRPr="001202A3">
              <w:rPr>
                <w:b/>
                <w:bCs/>
              </w:rPr>
              <w:t xml:space="preserve">WRIA </w:t>
            </w:r>
            <w:r>
              <w:rPr>
                <w:b/>
                <w:bCs/>
              </w:rPr>
              <w:t>8</w:t>
            </w:r>
          </w:p>
        </w:tc>
        <w:tc>
          <w:tcPr>
            <w:tcW w:w="1276" w:type="dxa"/>
            <w:tcBorders>
              <w:top w:val="single" w:sz="4" w:space="0" w:color="8EA9DB"/>
              <w:left w:val="nil"/>
              <w:bottom w:val="nil"/>
              <w:right w:val="single" w:sz="4" w:space="0" w:color="5B9BD5" w:themeColor="accent1"/>
            </w:tcBorders>
            <w:shd w:val="clear" w:color="D9E1F2" w:fill="D9E1F2"/>
            <w:noWrap/>
            <w:hideMark/>
          </w:tcPr>
          <w:p w14:paraId="38C3C27B" w14:textId="77777777" w:rsidR="007F1EB1" w:rsidRPr="001202A3" w:rsidRDefault="007F1EB1" w:rsidP="00444698">
            <w:pPr>
              <w:pStyle w:val="GEITableText"/>
              <w:keepNext/>
              <w:jc w:val="center"/>
              <w:rPr>
                <w:rFonts w:cs="Calibri"/>
                <w:b/>
                <w:bCs/>
                <w:color w:val="000000"/>
              </w:rPr>
            </w:pPr>
            <w:r>
              <w:rPr>
                <w:b/>
                <w:bCs/>
              </w:rPr>
              <w:t>967</w:t>
            </w:r>
          </w:p>
        </w:tc>
        <w:tc>
          <w:tcPr>
            <w:tcW w:w="1313" w:type="dxa"/>
            <w:tcBorders>
              <w:top w:val="single" w:sz="4" w:space="0" w:color="5B9BD5" w:themeColor="accent1"/>
              <w:left w:val="single" w:sz="4" w:space="0" w:color="5B9BD5" w:themeColor="accent1"/>
              <w:bottom w:val="nil"/>
              <w:right w:val="single" w:sz="4" w:space="0" w:color="5B9BD5" w:themeColor="accent1"/>
            </w:tcBorders>
            <w:shd w:val="clear" w:color="D9E1F2" w:fill="D9E1F2"/>
          </w:tcPr>
          <w:p w14:paraId="4908B69C" w14:textId="6CD0C9F7" w:rsidR="007F1EB1" w:rsidRPr="001202A3" w:rsidRDefault="007F1EB1" w:rsidP="00444698">
            <w:pPr>
              <w:pStyle w:val="GEITableText"/>
              <w:keepNext/>
              <w:jc w:val="center"/>
              <w:rPr>
                <w:b/>
                <w:bCs/>
              </w:rPr>
            </w:pPr>
          </w:p>
        </w:tc>
        <w:tc>
          <w:tcPr>
            <w:tcW w:w="776" w:type="dxa"/>
            <w:tcBorders>
              <w:top w:val="single" w:sz="4" w:space="0" w:color="5B9BD5" w:themeColor="accent1"/>
              <w:left w:val="single" w:sz="4" w:space="0" w:color="5B9BD5" w:themeColor="accent1"/>
              <w:bottom w:val="nil"/>
            </w:tcBorders>
            <w:shd w:val="clear" w:color="D9E1F2" w:fill="D9E1F2"/>
          </w:tcPr>
          <w:p w14:paraId="6E5254E9" w14:textId="0630D8F2" w:rsidR="007F1EB1" w:rsidRPr="001202A3" w:rsidRDefault="007F1EB1" w:rsidP="00444698">
            <w:pPr>
              <w:pStyle w:val="GEITableText"/>
              <w:keepNext/>
              <w:jc w:val="center"/>
              <w:rPr>
                <w:b/>
                <w:bCs/>
              </w:rPr>
            </w:pPr>
          </w:p>
        </w:tc>
        <w:tc>
          <w:tcPr>
            <w:tcW w:w="924" w:type="dxa"/>
            <w:tcBorders>
              <w:top w:val="single" w:sz="4" w:space="0" w:color="5B9BD5" w:themeColor="accent1"/>
              <w:bottom w:val="nil"/>
            </w:tcBorders>
            <w:shd w:val="clear" w:color="D9E1F2" w:fill="D9E1F2"/>
          </w:tcPr>
          <w:p w14:paraId="67907178" w14:textId="08F102D4" w:rsidR="007F1EB1" w:rsidRPr="001202A3" w:rsidRDefault="007F1EB1" w:rsidP="00444698">
            <w:pPr>
              <w:pStyle w:val="GEITableText"/>
              <w:keepNext/>
              <w:jc w:val="center"/>
              <w:rPr>
                <w:b/>
                <w:bCs/>
              </w:rPr>
            </w:pPr>
          </w:p>
        </w:tc>
        <w:tc>
          <w:tcPr>
            <w:tcW w:w="1080" w:type="dxa"/>
            <w:tcBorders>
              <w:top w:val="single" w:sz="4" w:space="0" w:color="5B9BD5" w:themeColor="accent1"/>
              <w:bottom w:val="nil"/>
              <w:right w:val="single" w:sz="4" w:space="0" w:color="5B9BD5" w:themeColor="accent1"/>
            </w:tcBorders>
            <w:shd w:val="clear" w:color="D9E1F2" w:fill="D9E1F2"/>
            <w:noWrap/>
            <w:hideMark/>
          </w:tcPr>
          <w:p w14:paraId="2B5DE821" w14:textId="4A709977" w:rsidR="007F1EB1" w:rsidRPr="001202A3" w:rsidRDefault="007F1EB1" w:rsidP="00444698">
            <w:pPr>
              <w:pStyle w:val="GEITableText"/>
              <w:keepNext/>
              <w:jc w:val="center"/>
              <w:rPr>
                <w:rFonts w:cs="Calibri"/>
                <w:b/>
                <w:bCs/>
                <w:color w:val="000000"/>
              </w:rPr>
            </w:pPr>
          </w:p>
        </w:tc>
        <w:tc>
          <w:tcPr>
            <w:tcW w:w="1382" w:type="dxa"/>
            <w:tcBorders>
              <w:top w:val="single" w:sz="4" w:space="0" w:color="5B9BD5" w:themeColor="accent1"/>
              <w:left w:val="single" w:sz="4" w:space="0" w:color="5B9BD5" w:themeColor="accent1"/>
              <w:bottom w:val="nil"/>
            </w:tcBorders>
            <w:shd w:val="clear" w:color="D9E1F2" w:fill="D9E1F2"/>
            <w:vAlign w:val="center"/>
          </w:tcPr>
          <w:p w14:paraId="4C9F042B" w14:textId="77777777" w:rsidR="007F1EB1" w:rsidRPr="001202A3" w:rsidRDefault="007F1EB1" w:rsidP="00444698">
            <w:pPr>
              <w:pStyle w:val="GEITableText"/>
              <w:keepNext/>
              <w:jc w:val="center"/>
              <w:rPr>
                <w:b/>
                <w:bCs/>
              </w:rPr>
            </w:pPr>
            <w:r>
              <w:rPr>
                <w:rFonts w:cs="Calibri"/>
                <w:b/>
                <w:bCs/>
              </w:rPr>
              <w:t>438.9</w:t>
            </w:r>
          </w:p>
        </w:tc>
      </w:tr>
    </w:tbl>
    <w:p w14:paraId="2D4F6DE6" w14:textId="7CF704C9" w:rsidR="007F1EB1" w:rsidRDefault="007F1EB1" w:rsidP="007F1EB1"/>
    <w:p w14:paraId="04F62DE7" w14:textId="77777777" w:rsidR="00D44BAE" w:rsidRDefault="00D44BAE" w:rsidP="00D44BAE">
      <w:pPr>
        <w:pStyle w:val="Subhead"/>
      </w:pPr>
      <w:r>
        <w:t>Discussion</w:t>
      </w:r>
    </w:p>
    <w:p w14:paraId="3B85897B" w14:textId="77777777" w:rsidR="00334BB0" w:rsidRDefault="00334BB0" w:rsidP="00334BB0">
      <w:pPr>
        <w:pStyle w:val="Bullets"/>
      </w:pPr>
      <w:r>
        <w:t>The Committee recommended the following changes/corrections to the Consumptive Use memo and calculator:</w:t>
      </w:r>
    </w:p>
    <w:p w14:paraId="54A2F39B" w14:textId="78F335F3" w:rsidR="00334BB0" w:rsidRDefault="00334BB0" w:rsidP="00334BB0">
      <w:pPr>
        <w:pStyle w:val="Bullets"/>
        <w:numPr>
          <w:ilvl w:val="1"/>
          <w:numId w:val="13"/>
        </w:numPr>
      </w:pPr>
      <w:r>
        <w:t>Update the Snohomish County average household size</w:t>
      </w:r>
    </w:p>
    <w:p w14:paraId="160DFC91" w14:textId="77777777" w:rsidR="00334BB0" w:rsidRDefault="00334BB0" w:rsidP="00334BB0">
      <w:pPr>
        <w:pStyle w:val="Bullets"/>
        <w:numPr>
          <w:ilvl w:val="1"/>
          <w:numId w:val="13"/>
        </w:numPr>
      </w:pPr>
      <w:r>
        <w:t>Add additional language regarding using the Little Bear average lawn size for Puget Sound Shorelines, Greater Lake Washington and Swamp-North subbasins (Little Bear is outside the UGA and PS Shorelines, Greater Lake Washington and Swamp-North are inside the UGA, etc.)</w:t>
      </w:r>
    </w:p>
    <w:p w14:paraId="388D14CF" w14:textId="77777777" w:rsidR="00334BB0" w:rsidRDefault="00334BB0" w:rsidP="00334BB0">
      <w:pPr>
        <w:pStyle w:val="Bullets"/>
        <w:numPr>
          <w:ilvl w:val="1"/>
          <w:numId w:val="13"/>
        </w:numPr>
      </w:pPr>
      <w:r>
        <w:t>Revise the description for the 950 gallons per day scenario</w:t>
      </w:r>
    </w:p>
    <w:p w14:paraId="54EBA532" w14:textId="31471E55" w:rsidR="00334BB0" w:rsidRDefault="00334BB0" w:rsidP="00334BB0">
      <w:pPr>
        <w:pStyle w:val="Bullets"/>
        <w:numPr>
          <w:ilvl w:val="1"/>
          <w:numId w:val="13"/>
        </w:numPr>
      </w:pPr>
      <w:r>
        <w:t>Correct the subbasin names in the calculator</w:t>
      </w:r>
    </w:p>
    <w:p w14:paraId="734BA37F" w14:textId="2A63CEAA" w:rsidR="00D44BAE" w:rsidRDefault="00D44BAE" w:rsidP="00D44BAE">
      <w:pPr>
        <w:pStyle w:val="Bullets"/>
      </w:pPr>
      <w:r>
        <w:t>The 950 gpd scenario in the consumptive use calculator assumes that homes use 60 gpd per person for indoor use and the rest as outdoor use, and applies the 10% consumptive use proportion to the indoor use and 80% consumptive use proportion to the outdoor use.</w:t>
      </w:r>
    </w:p>
    <w:p w14:paraId="37CC4243" w14:textId="690E5BAA" w:rsidR="00D44BAE" w:rsidRDefault="00D44BAE" w:rsidP="00D44BAE">
      <w:pPr>
        <w:pStyle w:val="Bullets"/>
      </w:pPr>
      <w:r>
        <w:t xml:space="preserve">The Committee discussed the comparison data from </w:t>
      </w:r>
      <w:r w:rsidR="00394B05">
        <w:t>Snohomish Public Utility District</w:t>
      </w:r>
      <w:r>
        <w:t xml:space="preserve">. </w:t>
      </w:r>
      <w:r w:rsidR="00394B05">
        <w:t>Snohomish PUD serves r</w:t>
      </w:r>
      <w:r w:rsidR="00077519">
        <w:t xml:space="preserve">ural areas. Many of their customers are </w:t>
      </w:r>
      <w:r w:rsidR="00394B05">
        <w:t xml:space="preserve">on lots 1-10 acres. </w:t>
      </w:r>
      <w:r>
        <w:t xml:space="preserve">The </w:t>
      </w:r>
      <w:r w:rsidR="00D8477F">
        <w:t>Sno</w:t>
      </w:r>
      <w:r w:rsidR="00394B05">
        <w:t>PUD</w:t>
      </w:r>
      <w:r>
        <w:t xml:space="preserve"> average indoor use was similar to the consumptive use estimate, but the outdoor use from the </w:t>
      </w:r>
      <w:r w:rsidR="00D8477F">
        <w:t>Sno</w:t>
      </w:r>
      <w:r w:rsidR="00394B05">
        <w:t>PUD</w:t>
      </w:r>
      <w:r>
        <w:t xml:space="preserve"> data was much lower. There are a number of factors that could contribute to that difference that are described in the memo: </w:t>
      </w:r>
    </w:p>
    <w:p w14:paraId="3A6860AE" w14:textId="24672036" w:rsidR="00D8477F" w:rsidRDefault="00D8477F" w:rsidP="00D8477F">
      <w:pPr>
        <w:pStyle w:val="Bullets"/>
        <w:numPr>
          <w:ilvl w:val="1"/>
          <w:numId w:val="13"/>
        </w:numPr>
      </w:pPr>
      <w:r w:rsidRPr="00D8477F">
        <w:t>SnoPUD charges its customers a flat rate by amount of water used, which may influence conservation behavior compared to unmetered users.</w:t>
      </w:r>
    </w:p>
    <w:p w14:paraId="23097586" w14:textId="3397DA95" w:rsidR="00D44BAE" w:rsidRDefault="00D44BAE" w:rsidP="00D44BAE">
      <w:pPr>
        <w:pStyle w:val="Bullets"/>
        <w:numPr>
          <w:ilvl w:val="1"/>
          <w:numId w:val="13"/>
        </w:numPr>
      </w:pPr>
      <w:r>
        <w:t>The a</w:t>
      </w:r>
      <w:r w:rsidRPr="00AD5728">
        <w:t>ssumptions</w:t>
      </w:r>
      <w:r>
        <w:t xml:space="preserve"> </w:t>
      </w:r>
      <w:r w:rsidRPr="00AD5728">
        <w:t xml:space="preserve">regarding crop </w:t>
      </w:r>
      <w:r>
        <w:t>irrigation requirements</w:t>
      </w:r>
      <w:r w:rsidRPr="00AD5728">
        <w:t xml:space="preserve"> and application efficiency </w:t>
      </w:r>
      <w:r>
        <w:t>used in the consumptive use estimate</w:t>
      </w:r>
      <w:r w:rsidRPr="00AD5728">
        <w:t xml:space="preserve"> are </w:t>
      </w:r>
      <w:r>
        <w:t>likely conservative</w:t>
      </w:r>
      <w:r w:rsidRPr="00AD5728">
        <w:t>. For example, residential lawn watering is likely more often at a deficit level (to maintain some growth and green color) whereas the WAIG crop irrigation requirements used in the consumptive use estimate assume watering at a level to produce commercial crops (like a sod farm for turf grass).</w:t>
      </w:r>
      <w:r>
        <w:t xml:space="preserve"> The </w:t>
      </w:r>
      <w:r>
        <w:lastRenderedPageBreak/>
        <w:t>WAIG crop irrigation requirements are based on data from the 1970s and 1980s and likely high.</w:t>
      </w:r>
    </w:p>
    <w:p w14:paraId="63A953FA" w14:textId="4B3DF9E4" w:rsidR="00077519" w:rsidRDefault="00077519" w:rsidP="00077519">
      <w:pPr>
        <w:pStyle w:val="Bullets"/>
      </w:pPr>
      <w:r>
        <w:t>Water purveyors use an estimate of gallons per day (gpd) per equivalent residential unit (ERU) to project future water use. Water purveyors in WRIAs 7 and 8 use an average of 241 gpd per ERU for planning purposes. Cross Valley Water District, which provides water in the Little Bear subbasin, uses 234 gpd/</w:t>
      </w:r>
      <w:r w:rsidR="00FF1EA4">
        <w:t>ERU</w:t>
      </w:r>
      <w:r>
        <w:t xml:space="preserve"> for planning.</w:t>
      </w:r>
    </w:p>
    <w:p w14:paraId="4534AD81" w14:textId="31A74C48" w:rsidR="00077519" w:rsidRPr="00E033EB" w:rsidRDefault="00077519" w:rsidP="00077519">
      <w:pPr>
        <w:pStyle w:val="Bullets"/>
      </w:pPr>
      <w:r>
        <w:t xml:space="preserve">The Committee discussed water purveyor conservation programs, which include education and offering free water conservation kits. </w:t>
      </w:r>
    </w:p>
    <w:p w14:paraId="3CEE5CA3" w14:textId="77777777" w:rsidR="00D44BAE" w:rsidRDefault="00D44BAE" w:rsidP="00D44BAE">
      <w:pPr>
        <w:pStyle w:val="Subhead"/>
      </w:pPr>
      <w:r>
        <w:t>Next Steps</w:t>
      </w:r>
    </w:p>
    <w:p w14:paraId="4A5FAF7D" w14:textId="5D223B87" w:rsidR="00334BB0" w:rsidRPr="00334BB0" w:rsidRDefault="00334BB0" w:rsidP="00334BB0">
      <w:pPr>
        <w:pStyle w:val="Bullets"/>
      </w:pPr>
      <w:r w:rsidRPr="00334BB0">
        <w:t>The GeoEngineers team contact</w:t>
      </w:r>
      <w:r w:rsidR="0098757E">
        <w:t>ed</w:t>
      </w:r>
      <w:r w:rsidRPr="00334BB0">
        <w:t xml:space="preserve"> the Snohomish County demographer </w:t>
      </w:r>
      <w:r w:rsidR="0098757E">
        <w:t>about</w:t>
      </w:r>
      <w:r w:rsidRPr="00334BB0">
        <w:t xml:space="preserve"> the average rural household size</w:t>
      </w:r>
      <w:r w:rsidR="00487E6E">
        <w:t xml:space="preserve">. The GeoEngineers team will revised the assumption in the consumptive use estimate and calculator to </w:t>
      </w:r>
      <w:r w:rsidR="0098757E">
        <w:t>2.75 people per home</w:t>
      </w:r>
      <w:r w:rsidRPr="00334BB0">
        <w:t>.</w:t>
      </w:r>
      <w:bookmarkStart w:id="0" w:name="_GoBack"/>
      <w:bookmarkEnd w:id="0"/>
    </w:p>
    <w:p w14:paraId="1F64B395" w14:textId="7D6DE787" w:rsidR="00D44BAE" w:rsidRDefault="00D44BAE" w:rsidP="00D44BAE">
      <w:pPr>
        <w:pStyle w:val="Bullets"/>
      </w:pPr>
      <w:r>
        <w:t>Committee members should review the consumptive use technical memo and send Stephanie feedback by 11/</w:t>
      </w:r>
      <w:r w:rsidR="00334BB0">
        <w:t>12</w:t>
      </w:r>
      <w:r>
        <w:t>.</w:t>
      </w:r>
    </w:p>
    <w:p w14:paraId="754A10D9" w14:textId="77777777" w:rsidR="00D44BAE" w:rsidRDefault="00D44BAE" w:rsidP="00D44BAE">
      <w:pPr>
        <w:pStyle w:val="Bullets"/>
      </w:pPr>
      <w:r>
        <w:t>Committee members should explore the consumptive use calculator and contact Stephanie with questions or comments.</w:t>
      </w:r>
    </w:p>
    <w:p w14:paraId="35755E1A" w14:textId="31D0BEE7" w:rsidR="00D44BAE" w:rsidRDefault="00D44BAE" w:rsidP="00D44BAE">
      <w:pPr>
        <w:pStyle w:val="Bullets"/>
      </w:pPr>
      <w:r>
        <w:t xml:space="preserve">Stephanie will distribute </w:t>
      </w:r>
      <w:r w:rsidR="00334BB0">
        <w:t>the revised</w:t>
      </w:r>
      <w:r>
        <w:t xml:space="preserve"> technical memo </w:t>
      </w:r>
      <w:r w:rsidR="00334BB0">
        <w:t>and</w:t>
      </w:r>
      <w:r>
        <w:t xml:space="preserve"> consumptive use calculator before the </w:t>
      </w:r>
      <w:r w:rsidR="00334BB0">
        <w:t>December 10</w:t>
      </w:r>
      <w:r>
        <w:t xml:space="preserve"> WREC meeting.</w:t>
      </w:r>
    </w:p>
    <w:p w14:paraId="72A7DC4A" w14:textId="52C6025E" w:rsidR="00D44BAE" w:rsidRPr="00E033EB" w:rsidRDefault="00D44BAE" w:rsidP="00D44BAE">
      <w:pPr>
        <w:pStyle w:val="Bullets"/>
      </w:pPr>
      <w:r>
        <w:t xml:space="preserve">The </w:t>
      </w:r>
      <w:r w:rsidR="00334BB0">
        <w:t>December</w:t>
      </w:r>
      <w:r>
        <w:t xml:space="preserve"> WREC meeting agenda will include time to discuss the consumptive use estimate and readiness for a vote in January/February.</w:t>
      </w:r>
    </w:p>
    <w:p w14:paraId="773719FC" w14:textId="045E2DCC" w:rsidR="004428E7" w:rsidRDefault="00B5701C" w:rsidP="00163783">
      <w:pPr>
        <w:pStyle w:val="Heading2"/>
      </w:pPr>
      <w:r>
        <w:t>Climate Change</w:t>
      </w:r>
    </w:p>
    <w:p w14:paraId="6BD23623" w14:textId="77777777" w:rsidR="00D8477F" w:rsidRDefault="00D8477F" w:rsidP="00D8477F">
      <w:r w:rsidRPr="004428E7">
        <w:t xml:space="preserve">Objective: </w:t>
      </w:r>
      <w:r w:rsidRPr="00F32135">
        <w:t>Discuss potential climate change impacts and if/how to address them in WRE plan.</w:t>
      </w:r>
    </w:p>
    <w:p w14:paraId="7A73C875" w14:textId="77777777" w:rsidR="00D8477F" w:rsidRDefault="00D8477F" w:rsidP="00D8477F">
      <w:pPr>
        <w:pStyle w:val="Subhead"/>
      </w:pPr>
      <w:r>
        <w:t>Reference Materials</w:t>
      </w:r>
    </w:p>
    <w:p w14:paraId="46DE3880" w14:textId="77777777" w:rsidR="00D8477F" w:rsidRDefault="00D8477F" w:rsidP="00D8477F">
      <w:pPr>
        <w:pStyle w:val="Bullets"/>
      </w:pPr>
      <w:r w:rsidRPr="00ED633D">
        <w:t>Climate change discussion guide</w:t>
      </w:r>
    </w:p>
    <w:p w14:paraId="562A540D" w14:textId="77777777" w:rsidR="00D8477F" w:rsidRDefault="00D8477F" w:rsidP="00D8477F">
      <w:pPr>
        <w:pStyle w:val="Subhead"/>
      </w:pPr>
      <w:r>
        <w:t>Discussion</w:t>
      </w:r>
    </w:p>
    <w:p w14:paraId="30E7507D" w14:textId="0F740FF6" w:rsidR="00D8477F" w:rsidRDefault="00D8477F" w:rsidP="00D8477F">
      <w:pPr>
        <w:pStyle w:val="Bullets"/>
      </w:pPr>
      <w:r>
        <w:t>The climate change discussion guide includes links to resources, including Climate Impacts Group reports and a chapter on climate impacts on salmon in the WRIA 8 Chinook Salmon Conservation Plan.</w:t>
      </w:r>
    </w:p>
    <w:p w14:paraId="3507961D" w14:textId="291DA90B" w:rsidR="00D8477F" w:rsidRDefault="00D8477F" w:rsidP="00D8477F">
      <w:pPr>
        <w:pStyle w:val="Bullets"/>
      </w:pPr>
      <w:r>
        <w:t>Committee members expressed interest in addressing climate change in the watershed restoration and enhancement plan through a safety factor and an adaptive management process. The Committee will talk about</w:t>
      </w:r>
      <w:r w:rsidR="00901FBB">
        <w:t xml:space="preserve"> the safety factor/offset target and</w:t>
      </w:r>
      <w:r>
        <w:t xml:space="preserve"> adaptive management in more depth in the coming meetings.</w:t>
      </w:r>
    </w:p>
    <w:p w14:paraId="7F16B40B" w14:textId="16142BCB" w:rsidR="00D8477F" w:rsidRDefault="00D8477F" w:rsidP="00D8477F">
      <w:pPr>
        <w:pStyle w:val="Bullets"/>
      </w:pPr>
      <w:r>
        <w:t xml:space="preserve">Committee members wanted to learn more about specific impacts projected for the Cedar-Sammamish Watershed. </w:t>
      </w:r>
    </w:p>
    <w:p w14:paraId="2505FE36" w14:textId="4D402A30" w:rsidR="00D8477F" w:rsidRDefault="00D8477F" w:rsidP="00D8477F">
      <w:pPr>
        <w:pStyle w:val="Bullets"/>
      </w:pPr>
      <w:r>
        <w:t>The Committee is also interested in more information on how water system plans address climate change. Suggestion to look at resources from the Puget Sound Water Supply Forum.</w:t>
      </w:r>
    </w:p>
    <w:p w14:paraId="319F585E" w14:textId="3BD9EB88" w:rsidR="00D8477F" w:rsidRDefault="00D8477F" w:rsidP="00D8477F">
      <w:pPr>
        <w:pStyle w:val="Bullets"/>
      </w:pPr>
      <w:r>
        <w:t>Suggestions to look at how other plans address climate change and water resources: King County Strategic Climate Action Plan, Orca task force recommendations,</w:t>
      </w:r>
      <w:r w:rsidR="00411883">
        <w:t xml:space="preserve"> Snohomish Basin Protection Plan,</w:t>
      </w:r>
      <w:r>
        <w:t xml:space="preserve"> etc.</w:t>
      </w:r>
    </w:p>
    <w:p w14:paraId="671EB9E9" w14:textId="54AB3C32" w:rsidR="00B65263" w:rsidRDefault="00B65263" w:rsidP="00D8477F">
      <w:pPr>
        <w:pStyle w:val="Bullets"/>
      </w:pPr>
      <w:r>
        <w:t>Committee members expressed interest in including examples of local codes, ordinances, and policies that local jurisdictions could adopt to improve streamflow.</w:t>
      </w:r>
    </w:p>
    <w:p w14:paraId="0C27E749" w14:textId="77777777" w:rsidR="00D8477F" w:rsidRDefault="00D8477F" w:rsidP="00D8477F">
      <w:pPr>
        <w:pStyle w:val="Subhead"/>
      </w:pPr>
      <w:r>
        <w:t>Next Steps</w:t>
      </w:r>
    </w:p>
    <w:p w14:paraId="71E09031" w14:textId="7004AD8C" w:rsidR="00D8477F" w:rsidRPr="00F13C12" w:rsidRDefault="00D8477F" w:rsidP="00D8477F">
      <w:pPr>
        <w:pStyle w:val="Bullets"/>
      </w:pPr>
      <w:r w:rsidRPr="005639CF">
        <w:lastRenderedPageBreak/>
        <w:t xml:space="preserve">Stephanie will contact the University of Washington Climate Impacts Group </w:t>
      </w:r>
      <w:r w:rsidR="00B65263">
        <w:t>to find out if they have data and projections specific to the Cedar-Sammamish watershed</w:t>
      </w:r>
      <w:r w:rsidRPr="005639CF">
        <w:t xml:space="preserve">. </w:t>
      </w:r>
    </w:p>
    <w:p w14:paraId="3005DC39" w14:textId="276EBD2E" w:rsidR="00163783" w:rsidRDefault="00B5701C" w:rsidP="00163783">
      <w:pPr>
        <w:pStyle w:val="Heading2"/>
      </w:pPr>
      <w:r>
        <w:t>Identifying Potential Projects</w:t>
      </w:r>
    </w:p>
    <w:p w14:paraId="072A9D82" w14:textId="77777777" w:rsidR="00B65263" w:rsidRDefault="00B65263" w:rsidP="00B65263">
      <w:r w:rsidRPr="00163783">
        <w:t>Objective</w:t>
      </w:r>
      <w:r>
        <w:t>s</w:t>
      </w:r>
      <w:r w:rsidRPr="00163783">
        <w:t xml:space="preserve">: </w:t>
      </w:r>
    </w:p>
    <w:p w14:paraId="08E93336" w14:textId="77777777" w:rsidR="00B65263" w:rsidRDefault="00B65263" w:rsidP="00B65263">
      <w:pPr>
        <w:pStyle w:val="Bullets"/>
      </w:pPr>
      <w:r>
        <w:t>Discuss approach for developing the project list.</w:t>
      </w:r>
    </w:p>
    <w:p w14:paraId="755E4DD2" w14:textId="77777777" w:rsidR="00B65263" w:rsidRDefault="00B65263" w:rsidP="00B65263">
      <w:pPr>
        <w:pStyle w:val="Bullets"/>
      </w:pPr>
      <w:r>
        <w:t>Review and discuss draft project screening criteria.</w:t>
      </w:r>
    </w:p>
    <w:p w14:paraId="3DDC5BC3" w14:textId="77777777" w:rsidR="00B65263" w:rsidRDefault="00B65263" w:rsidP="00B65263">
      <w:pPr>
        <w:pStyle w:val="Subhead"/>
      </w:pPr>
      <w:r>
        <w:t>Reference Materials</w:t>
      </w:r>
    </w:p>
    <w:p w14:paraId="49B92606" w14:textId="77777777" w:rsidR="00B65263" w:rsidRDefault="00B65263" w:rsidP="00B65263">
      <w:pPr>
        <w:pStyle w:val="Bullets"/>
      </w:pPr>
      <w:r w:rsidRPr="00ED633D">
        <w:t>Project screening criteria memo</w:t>
      </w:r>
    </w:p>
    <w:p w14:paraId="5EF49A61" w14:textId="77777777" w:rsidR="00B65263" w:rsidRDefault="00B65263" w:rsidP="00B65263">
      <w:pPr>
        <w:pStyle w:val="Bullets"/>
      </w:pPr>
      <w:r>
        <w:t>Project solicitation handout</w:t>
      </w:r>
    </w:p>
    <w:p w14:paraId="68D37226" w14:textId="77777777" w:rsidR="00B65263" w:rsidRDefault="00B65263" w:rsidP="00B65263">
      <w:pPr>
        <w:pStyle w:val="Subhead"/>
      </w:pPr>
      <w:r>
        <w:t>Discussion</w:t>
      </w:r>
    </w:p>
    <w:p w14:paraId="1C1FA31E" w14:textId="3890180A" w:rsidR="000C3F92" w:rsidRDefault="000C3F92" w:rsidP="000C3F92">
      <w:pPr>
        <w:pStyle w:val="Bullets"/>
      </w:pPr>
      <w:r>
        <w:t>The Committee discussed the need to find water offset projects because most of the projects in other watershed plans are focused on habitat benefits. Suggestions included water rights acquisitions, and getting water right holders hooked up to reclaimed water.</w:t>
      </w:r>
    </w:p>
    <w:p w14:paraId="0AF71B11" w14:textId="10CABF82" w:rsidR="00DC5C27" w:rsidRDefault="00DC5C27" w:rsidP="000C3F92">
      <w:pPr>
        <w:pStyle w:val="Bullets"/>
      </w:pPr>
      <w:r>
        <w:t>King County Ag Program (the representative for agricultural interests) would have concerns about projects that involve permanent removal of agricultural water rights, without a reasonable alternative water source.</w:t>
      </w:r>
    </w:p>
    <w:p w14:paraId="4D219513" w14:textId="1419B14F" w:rsidR="00DC5C27" w:rsidRDefault="00DC5C27" w:rsidP="000C3F92">
      <w:pPr>
        <w:pStyle w:val="Bullets"/>
      </w:pPr>
      <w:r>
        <w:t xml:space="preserve">The Committee will talk more about project types at upcoming meetings. </w:t>
      </w:r>
    </w:p>
    <w:p w14:paraId="40ABA2EE" w14:textId="53DFE98B" w:rsidR="000C3F92" w:rsidRDefault="000C3F92" w:rsidP="000C3F92">
      <w:pPr>
        <w:pStyle w:val="Bullets"/>
      </w:pPr>
      <w:r>
        <w:t xml:space="preserve">The Committee wants more information on methods to quantify water benefits from habitat projects. </w:t>
      </w:r>
    </w:p>
    <w:p w14:paraId="2A369B28" w14:textId="3CF04AC8" w:rsidR="00B65263" w:rsidRDefault="00B65263" w:rsidP="00444698">
      <w:pPr>
        <w:pStyle w:val="Bullets"/>
      </w:pPr>
      <w:r>
        <w:t xml:space="preserve">The Committee reviewed the Project Screening Criteria memo. The GeoEngineers and HDR consultant teams collaborated to develop proposed screening criteria for initial evaluation of proposed water offset and habitat projects. The WRIA </w:t>
      </w:r>
      <w:r w:rsidR="00FE1112">
        <w:t>8</w:t>
      </w:r>
      <w:r>
        <w:t xml:space="preserve"> WREC will provide feedback on the proposed criteria and tailor it to meet our needs.  </w:t>
      </w:r>
    </w:p>
    <w:p w14:paraId="0BEB13AB" w14:textId="39D6C935" w:rsidR="00B65263" w:rsidRDefault="00B65263" w:rsidP="00B65263">
      <w:pPr>
        <w:pStyle w:val="Bullets"/>
      </w:pPr>
      <w:r>
        <w:t>The purpose of the fatal flaw screening criteria (Section 2 of the Proposed Screening Criteria memo) is to quickly and easily remove projects that are ineligible or do not meet the minimum requirements of the streamflow restoration law and NEB guidance. Projects that are screened out can still be reconsidered later, if the Committee receives additional information.</w:t>
      </w:r>
    </w:p>
    <w:p w14:paraId="7FF1B5F0" w14:textId="35AE1AB4" w:rsidR="00DC5C27" w:rsidRDefault="00DC5C27" w:rsidP="00DC5C27">
      <w:pPr>
        <w:pStyle w:val="Bullets"/>
        <w:numPr>
          <w:ilvl w:val="1"/>
          <w:numId w:val="13"/>
        </w:numPr>
      </w:pPr>
      <w:r>
        <w:t>The workgroup recommended removing “reliable” from the criteria “n</w:t>
      </w:r>
      <w:r w:rsidRPr="00DC5C27">
        <w:t>o reliable benefits to streamflow or habitat</w:t>
      </w:r>
      <w:r>
        <w:t>”</w:t>
      </w:r>
    </w:p>
    <w:p w14:paraId="545E3B32" w14:textId="77777777" w:rsidR="00B65263" w:rsidRDefault="00B65263" w:rsidP="00B65263">
      <w:pPr>
        <w:pStyle w:val="Bullets"/>
      </w:pPr>
      <w:r>
        <w:t xml:space="preserve">Sections 3 and 4 of the Proposed Screening Criteria memo includes criteria the workgroup and Committee can use to further refine the project list and prioritize projects. The workgroup will discuss these sections in more detail at the next meeting. </w:t>
      </w:r>
    </w:p>
    <w:p w14:paraId="3E11D038" w14:textId="77777777" w:rsidR="00B65263" w:rsidRDefault="00B65263" w:rsidP="00B65263">
      <w:pPr>
        <w:pStyle w:val="Bullets"/>
      </w:pPr>
      <w:r>
        <w:t xml:space="preserve">The Committee briefly reviewed the project inventory prepared by GeoEngineers. The project inventory is a working document that compiles project ideas, including projects in existing plans (e.g. the Salmon Recovery plans). </w:t>
      </w:r>
    </w:p>
    <w:p w14:paraId="2C496A36" w14:textId="50597AB5" w:rsidR="00B65263" w:rsidRDefault="00B65263" w:rsidP="00B65263">
      <w:pPr>
        <w:pStyle w:val="Bullets"/>
      </w:pPr>
      <w:r>
        <w:t xml:space="preserve">The Committee will need to talk more about </w:t>
      </w:r>
      <w:r w:rsidR="00444698">
        <w:t xml:space="preserve">the roles of the Committee, workgroup, and consultant team in project identification and selection and </w:t>
      </w:r>
      <w:r>
        <w:t>a process for bring</w:t>
      </w:r>
      <w:r w:rsidR="002E7889">
        <w:t>ing</w:t>
      </w:r>
      <w:r>
        <w:t xml:space="preserve"> projects forward for Committee consideration. </w:t>
      </w:r>
    </w:p>
    <w:p w14:paraId="177C6F90" w14:textId="77777777" w:rsidR="00B65263" w:rsidRDefault="00B65263" w:rsidP="00B65263">
      <w:pPr>
        <w:pStyle w:val="Subhead"/>
      </w:pPr>
      <w:r>
        <w:t>Next Steps</w:t>
      </w:r>
    </w:p>
    <w:p w14:paraId="349313DA" w14:textId="1FBE5C13" w:rsidR="00DC5C27" w:rsidRDefault="00B65263" w:rsidP="00DC5C27">
      <w:pPr>
        <w:pStyle w:val="Bullets"/>
      </w:pPr>
      <w:r>
        <w:t>Committee members should start talking with colleagues and partners about potential water rights acquisition, water offset, and habitat projects to include in the plan. Ecology produced the project solicitation handout for that purpose.</w:t>
      </w:r>
    </w:p>
    <w:p w14:paraId="6502C5AC" w14:textId="1524D993" w:rsidR="00DC5C27" w:rsidRDefault="00DC5C27" w:rsidP="00B65263">
      <w:pPr>
        <w:pStyle w:val="Bullets"/>
      </w:pPr>
      <w:r>
        <w:lastRenderedPageBreak/>
        <w:t>Stephanie will share a draft water rights acquisition assessment scope of work at the next technical workgroup meeting.</w:t>
      </w:r>
    </w:p>
    <w:p w14:paraId="41BBAA7A" w14:textId="349CB77D" w:rsidR="00DC5C27" w:rsidRDefault="00DC5C27" w:rsidP="00B65263">
      <w:pPr>
        <w:pStyle w:val="Bullets"/>
      </w:pPr>
      <w:r>
        <w:t>The technical consultants will put together a presentation on methods to estimate water offset benefits from habitat restoration projects.</w:t>
      </w:r>
    </w:p>
    <w:p w14:paraId="7B380681" w14:textId="10539D2B" w:rsidR="00DC5C27" w:rsidRDefault="00DC5C27" w:rsidP="00B65263">
      <w:pPr>
        <w:pStyle w:val="Bullets"/>
      </w:pPr>
      <w:r>
        <w:t>Committee members think about whether your organization/government has concerns with certain project types and plan to talk about that at the next meeting.</w:t>
      </w:r>
    </w:p>
    <w:p w14:paraId="1606216E" w14:textId="6EC6395C" w:rsidR="002F3A50" w:rsidRDefault="002F3A50" w:rsidP="00484DF4">
      <w:pPr>
        <w:pStyle w:val="Heading2"/>
      </w:pPr>
      <w:r>
        <w:t>S</w:t>
      </w:r>
      <w:r w:rsidR="00B5701C">
        <w:t>treamflow Restoration Competitive Grants Update</w:t>
      </w:r>
    </w:p>
    <w:p w14:paraId="16E5BC51" w14:textId="13725FC6" w:rsidR="00CE1A6F" w:rsidRDefault="00CE1A6F" w:rsidP="00CE1A6F">
      <w:pPr>
        <w:pStyle w:val="Subhead"/>
      </w:pPr>
      <w:r>
        <w:t>Reference Materials</w:t>
      </w:r>
    </w:p>
    <w:p w14:paraId="3D737D01" w14:textId="7C007AE0" w:rsidR="00CE1A6F" w:rsidRDefault="00E62EC5" w:rsidP="00CE1A6F">
      <w:pPr>
        <w:pStyle w:val="Bullets"/>
      </w:pPr>
      <w:hyperlink r:id="rId21" w:history="1">
        <w:r w:rsidR="00CE1A6F" w:rsidRPr="00CE1A6F">
          <w:rPr>
            <w:rStyle w:val="Hyperlink"/>
          </w:rPr>
          <w:t>Streamflow Restoration Competitive Grants Guidance</w:t>
        </w:r>
      </w:hyperlink>
    </w:p>
    <w:p w14:paraId="170A9D9D" w14:textId="2EA8EDF8" w:rsidR="00CE1A6F" w:rsidRDefault="00CE1A6F" w:rsidP="00CE1A6F">
      <w:pPr>
        <w:pStyle w:val="Subhead"/>
      </w:pPr>
      <w:r>
        <w:t>Discussion</w:t>
      </w:r>
    </w:p>
    <w:p w14:paraId="0E7E0C9B" w14:textId="18DDE608" w:rsidR="00970073" w:rsidRDefault="00B5701C" w:rsidP="00FE17B3">
      <w:pPr>
        <w:pStyle w:val="Bullets"/>
      </w:pPr>
      <w:r>
        <w:t xml:space="preserve">Paulina provided </w:t>
      </w:r>
      <w:r w:rsidR="00CE1A6F">
        <w:t>an overview of the</w:t>
      </w:r>
      <w:r>
        <w:t xml:space="preserve"> grant guidance. This round allocated $22 million for </w:t>
      </w:r>
      <w:r w:rsidR="00131AAE">
        <w:t>eligible</w:t>
      </w:r>
      <w:r>
        <w:t xml:space="preserve"> projects</w:t>
      </w:r>
      <w:r w:rsidR="00CE1A6F">
        <w:t xml:space="preserve"> statewide</w:t>
      </w:r>
      <w:r>
        <w:t>. Projects include</w:t>
      </w:r>
      <w:r w:rsidR="00131AAE">
        <w:t>:</w:t>
      </w:r>
      <w:r>
        <w:t xml:space="preserve"> water rights acqui</w:t>
      </w:r>
      <w:r w:rsidR="00131AAE">
        <w:t>sitions;</w:t>
      </w:r>
      <w:r>
        <w:t xml:space="preserve"> altered water management or infrastructure</w:t>
      </w:r>
      <w:r w:rsidR="00131AAE">
        <w:t>;</w:t>
      </w:r>
      <w:r>
        <w:t xml:space="preserve"> watershed function, </w:t>
      </w:r>
      <w:r w:rsidR="00131AAE">
        <w:t xml:space="preserve">riparian, and fish habitat improvements; environmental monitoring, feasibility studies, and water storage. Scoring criteria is outlined </w:t>
      </w:r>
      <w:r w:rsidR="00CE1A6F">
        <w:t>in the</w:t>
      </w:r>
      <w:r w:rsidR="00131AAE">
        <w:t xml:space="preserve"> grant guidance. </w:t>
      </w:r>
    </w:p>
    <w:p w14:paraId="70C4DB0A" w14:textId="46B5E7A5" w:rsidR="00CE1A6F" w:rsidRDefault="00CE1A6F" w:rsidP="00FE17B3">
      <w:pPr>
        <w:pStyle w:val="Bullets"/>
      </w:pPr>
      <w:r>
        <w:t xml:space="preserve">For more information, review the grant guidance and attend an applicant workshop. Details are on the </w:t>
      </w:r>
      <w:hyperlink r:id="rId22" w:history="1">
        <w:r w:rsidRPr="00CE1A6F">
          <w:rPr>
            <w:rStyle w:val="Hyperlink"/>
          </w:rPr>
          <w:t>Streamflow Restoration Competitive Grants webpage</w:t>
        </w:r>
      </w:hyperlink>
      <w:r>
        <w:t>.</w:t>
      </w:r>
    </w:p>
    <w:p w14:paraId="7CA97AA2" w14:textId="77777777" w:rsidR="00CE1A6F" w:rsidRDefault="00CE1A6F" w:rsidP="00CE1A6F">
      <w:pPr>
        <w:pStyle w:val="Heading2"/>
      </w:pPr>
      <w:r>
        <w:t>Action Items for Chair:</w:t>
      </w:r>
    </w:p>
    <w:p w14:paraId="59E4296F" w14:textId="00552334" w:rsidR="003A055D" w:rsidRPr="003A055D" w:rsidRDefault="003A055D" w:rsidP="003A055D">
      <w:pPr>
        <w:pStyle w:val="Bullets"/>
      </w:pPr>
      <w:r>
        <w:t>C</w:t>
      </w:r>
      <w:r w:rsidRPr="003A055D">
        <w:t xml:space="preserve">oordinate with </w:t>
      </w:r>
      <w:r>
        <w:t>MBAKS</w:t>
      </w:r>
      <w:r w:rsidRPr="003A055D">
        <w:t xml:space="preserve"> to schedule a presentation</w:t>
      </w:r>
      <w:r>
        <w:t xml:space="preserve"> on rural development from some of their members</w:t>
      </w:r>
      <w:r w:rsidRPr="003A055D">
        <w:t>.</w:t>
      </w:r>
    </w:p>
    <w:p w14:paraId="5547DE82" w14:textId="54A585B5" w:rsidR="003A055D" w:rsidRPr="003A055D" w:rsidRDefault="003A055D" w:rsidP="003A055D">
      <w:pPr>
        <w:pStyle w:val="Bullets"/>
      </w:pPr>
      <w:r>
        <w:t>Ask the technical consultants</w:t>
      </w:r>
      <w:r w:rsidRPr="003A055D">
        <w:t xml:space="preserve"> </w:t>
      </w:r>
      <w:r>
        <w:t>to</w:t>
      </w:r>
      <w:r w:rsidR="0098757E">
        <w:t xml:space="preserve"> </w:t>
      </w:r>
      <w:r w:rsidR="0098757E">
        <w:t>revise the Snohomish County household size assumption used in the</w:t>
      </w:r>
      <w:r w:rsidR="0098757E">
        <w:t xml:space="preserve"> </w:t>
      </w:r>
      <w:r w:rsidR="0098757E">
        <w:t>c</w:t>
      </w:r>
      <w:r w:rsidR="0098757E">
        <w:t>ons</w:t>
      </w:r>
      <w:r w:rsidR="0098757E">
        <w:t>umptive u</w:t>
      </w:r>
      <w:r w:rsidR="0098757E">
        <w:t>se estimate and calculator</w:t>
      </w:r>
      <w:r w:rsidR="0098757E">
        <w:t xml:space="preserve"> to </w:t>
      </w:r>
      <w:r w:rsidR="0098757E">
        <w:t xml:space="preserve">2.75 people per home, based on information provided by the Snohomish County demographer. </w:t>
      </w:r>
    </w:p>
    <w:p w14:paraId="0CD29EAD" w14:textId="264E832C" w:rsidR="00CE1A6F" w:rsidRPr="002110F0" w:rsidRDefault="003A055D" w:rsidP="00CE1A6F">
      <w:pPr>
        <w:pStyle w:val="Bullets"/>
      </w:pPr>
      <w:r>
        <w:t xml:space="preserve">Distribute </w:t>
      </w:r>
      <w:r w:rsidR="009172BA">
        <w:t>revised</w:t>
      </w:r>
      <w:r w:rsidR="00CE1A6F" w:rsidRPr="002110F0">
        <w:t xml:space="preserve"> technical memo </w:t>
      </w:r>
      <w:r>
        <w:t>and</w:t>
      </w:r>
      <w:r w:rsidR="00CE1A6F" w:rsidRPr="002110F0">
        <w:t xml:space="preserve"> consumptive use calculator before the </w:t>
      </w:r>
      <w:r w:rsidR="00CE1A6F">
        <w:t>December 10</w:t>
      </w:r>
      <w:r w:rsidR="00CE1A6F" w:rsidRPr="002110F0">
        <w:t xml:space="preserve"> WREC meeting.</w:t>
      </w:r>
    </w:p>
    <w:p w14:paraId="382A48A7" w14:textId="77777777" w:rsidR="003A055D" w:rsidRDefault="003A055D" w:rsidP="003A055D">
      <w:pPr>
        <w:pStyle w:val="Bullets"/>
      </w:pPr>
      <w:r>
        <w:t>C</w:t>
      </w:r>
      <w:r w:rsidRPr="003A055D">
        <w:t>ontact the University of Washington Climate Impacts Group to find out if they have data and projections specific to</w:t>
      </w:r>
      <w:r>
        <w:t xml:space="preserve"> the Cedar-Sammamish watershed.</w:t>
      </w:r>
    </w:p>
    <w:p w14:paraId="08C496A9" w14:textId="5462D80B" w:rsidR="003A055D" w:rsidRDefault="003A055D" w:rsidP="003A055D">
      <w:pPr>
        <w:pStyle w:val="Bullets"/>
      </w:pPr>
      <w:r>
        <w:t>S</w:t>
      </w:r>
      <w:r w:rsidRPr="003A055D">
        <w:t>hare a draft water rights acquisition assessment scope of work at the next technical workgroup meeting.</w:t>
      </w:r>
    </w:p>
    <w:p w14:paraId="6F06F8A8" w14:textId="49A2E8A2" w:rsidR="003A055D" w:rsidRPr="003A055D" w:rsidRDefault="003A055D" w:rsidP="003A055D">
      <w:pPr>
        <w:pStyle w:val="Bullets"/>
      </w:pPr>
      <w:r>
        <w:t>Ask the technical consultants to</w:t>
      </w:r>
      <w:r w:rsidRPr="003A055D">
        <w:t xml:space="preserve"> put together a presentation on methods to estimate water offset benefits from habitat restoration projects.</w:t>
      </w:r>
    </w:p>
    <w:p w14:paraId="444F9E35" w14:textId="77777777" w:rsidR="00CE1A6F" w:rsidRDefault="00CE1A6F" w:rsidP="00CE1A6F">
      <w:pPr>
        <w:pStyle w:val="Heading2"/>
      </w:pPr>
      <w:r w:rsidRPr="00FF41E9">
        <w:t>Action Items</w:t>
      </w:r>
      <w:r>
        <w:t xml:space="preserve"> for Committee Members</w:t>
      </w:r>
    </w:p>
    <w:p w14:paraId="3D7537B0" w14:textId="66EE0EE6" w:rsidR="00CE1A6F" w:rsidRDefault="00CE1A6F" w:rsidP="00CE1A6F">
      <w:pPr>
        <w:pStyle w:val="Bullets"/>
      </w:pPr>
      <w:r>
        <w:t>Review the growth projections and consumptive use technical memo and</w:t>
      </w:r>
      <w:r w:rsidR="003A055D">
        <w:t xml:space="preserve"> send Stephanie feedback by 11/12</w:t>
      </w:r>
      <w:r>
        <w:t>.</w:t>
      </w:r>
    </w:p>
    <w:p w14:paraId="54E62C02" w14:textId="1F91BF76" w:rsidR="00CE1A6F" w:rsidRDefault="00CE1A6F" w:rsidP="00CE1A6F">
      <w:pPr>
        <w:pStyle w:val="Bullets"/>
      </w:pPr>
      <w:r>
        <w:t>Explore the consumptive use calculator and contact Stephanie with questions or comments.</w:t>
      </w:r>
    </w:p>
    <w:p w14:paraId="063E0B29" w14:textId="77777777" w:rsidR="009172BA" w:rsidRPr="003C5DC9" w:rsidRDefault="009172BA" w:rsidP="009172BA">
      <w:pPr>
        <w:pStyle w:val="Bullets"/>
      </w:pPr>
      <w:r>
        <w:t>T</w:t>
      </w:r>
      <w:r w:rsidRPr="003C5DC9">
        <w:t xml:space="preserve">hink about whether your organization/government has concerns with certain project types and plan to talk about that at the next meeting. </w:t>
      </w:r>
    </w:p>
    <w:p w14:paraId="1D333719" w14:textId="77777777" w:rsidR="00CE1A6F" w:rsidRPr="00D2268F" w:rsidRDefault="00CE1A6F" w:rsidP="00CE1A6F">
      <w:pPr>
        <w:pStyle w:val="Bullets"/>
      </w:pPr>
      <w:r>
        <w:t>S</w:t>
      </w:r>
      <w:r w:rsidRPr="00D2268F">
        <w:t>tart talking with colleagues and partners about potential water rights acquisition, water offset, and habitat projects to include in the plan. Ecology produced the project solicitation handout for that purpose.</w:t>
      </w:r>
    </w:p>
    <w:p w14:paraId="50D582E9" w14:textId="55E2A957" w:rsidR="00CE1A6F" w:rsidRPr="00865688" w:rsidRDefault="00CE1A6F" w:rsidP="00CE1A6F">
      <w:pPr>
        <w:pStyle w:val="Bullets"/>
      </w:pPr>
      <w:r w:rsidRPr="00865688">
        <w:t xml:space="preserve">Send Stephanie corrections to draft </w:t>
      </w:r>
      <w:r>
        <w:t>October</w:t>
      </w:r>
      <w:r w:rsidRPr="00865688">
        <w:t xml:space="preserve"> meeting summary by </w:t>
      </w:r>
      <w:r w:rsidR="00F17A3B">
        <w:t>11/26/2019</w:t>
      </w:r>
      <w:r w:rsidRPr="00865688">
        <w:t>.</w:t>
      </w:r>
    </w:p>
    <w:p w14:paraId="7306751F" w14:textId="6DBEA1D6" w:rsidR="00484DF4" w:rsidRPr="00FF41E9" w:rsidRDefault="00484DF4" w:rsidP="00484DF4">
      <w:pPr>
        <w:pStyle w:val="Heading2"/>
      </w:pPr>
      <w:r>
        <w:lastRenderedPageBreak/>
        <w:t xml:space="preserve">Next Meeting: </w:t>
      </w:r>
      <w:r w:rsidR="00131AAE">
        <w:t>Tue</w:t>
      </w:r>
      <w:r w:rsidR="002F3A50">
        <w:t xml:space="preserve">sday, </w:t>
      </w:r>
      <w:r w:rsidR="00131AAE">
        <w:t>December 10</w:t>
      </w:r>
    </w:p>
    <w:p w14:paraId="63EAB622" w14:textId="7FEE5C5D" w:rsidR="003F6D10" w:rsidRDefault="00FE03C5" w:rsidP="00FE03C5">
      <w:pPr>
        <w:pStyle w:val="Bullets"/>
        <w:numPr>
          <w:ilvl w:val="0"/>
          <w:numId w:val="0"/>
        </w:numPr>
        <w:ind w:left="360" w:hanging="360"/>
      </w:pPr>
      <w:r>
        <w:t>Next meeting—</w:t>
      </w:r>
      <w:r w:rsidR="00131AAE">
        <w:t xml:space="preserve">Tuesday, </w:t>
      </w:r>
      <w:r w:rsidR="002E07BA">
        <w:t>December</w:t>
      </w:r>
      <w:r w:rsidR="00131AAE">
        <w:t xml:space="preserve"> 10</w:t>
      </w:r>
      <w:r w:rsidR="002951E9">
        <w:t xml:space="preserve"> from </w:t>
      </w:r>
      <w:r w:rsidR="002951E9" w:rsidRPr="002951E9">
        <w:t>9:30 a.m. - 12:30 p.m., Ecology Northwest Regional Office</w:t>
      </w:r>
    </w:p>
    <w:p w14:paraId="765A5B03" w14:textId="39F03648" w:rsidR="00FE03C5" w:rsidRDefault="00FE03C5" w:rsidP="00FE03C5">
      <w:pPr>
        <w:pStyle w:val="Bullets"/>
      </w:pPr>
      <w:r>
        <w:t>The Committee will not meet in November</w:t>
      </w:r>
    </w:p>
    <w:p w14:paraId="4F5F4032" w14:textId="2D9F5F05" w:rsidR="00FE03C5" w:rsidRPr="00590D8B" w:rsidRDefault="00FE03C5" w:rsidP="00FE03C5">
      <w:pPr>
        <w:pStyle w:val="Bullets"/>
      </w:pPr>
      <w:r>
        <w:t xml:space="preserve">The December </w:t>
      </w:r>
      <w:r>
        <w:t xml:space="preserve">meeting is rescheduled </w:t>
      </w:r>
      <w:r w:rsidR="008A1633">
        <w:t xml:space="preserve">for </w:t>
      </w:r>
      <w:r>
        <w:t>December 10</w:t>
      </w:r>
    </w:p>
    <w:sectPr w:rsidR="00FE03C5" w:rsidRPr="00590D8B"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F622A" w14:textId="77777777" w:rsidR="00E62EC5" w:rsidRDefault="00E62EC5" w:rsidP="00E34A0C">
      <w:r>
        <w:separator/>
      </w:r>
    </w:p>
  </w:endnote>
  <w:endnote w:type="continuationSeparator" w:id="0">
    <w:p w14:paraId="25813E8C" w14:textId="77777777" w:rsidR="00E62EC5" w:rsidRDefault="00E62EC5" w:rsidP="00E34A0C">
      <w:r>
        <w:continuationSeparator/>
      </w:r>
    </w:p>
  </w:endnote>
  <w:endnote w:type="continuationNotice" w:id="1">
    <w:p w14:paraId="1AAADC64" w14:textId="77777777" w:rsidR="00E62EC5" w:rsidRDefault="00E62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26EFFBEA" w14:textId="764B69FD" w:rsidR="00444698" w:rsidRDefault="00444698" w:rsidP="00D711C0">
        <w:pPr>
          <w:pStyle w:val="Footer"/>
          <w:jc w:val="center"/>
        </w:pPr>
        <w:r>
          <w:fldChar w:fldCharType="begin"/>
        </w:r>
        <w:r>
          <w:instrText xml:space="preserve"> PAGE   \* MERGEFORMAT </w:instrText>
        </w:r>
        <w:r>
          <w:fldChar w:fldCharType="separate"/>
        </w:r>
        <w:r w:rsidR="00487E6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044DB" w14:textId="77777777" w:rsidR="00E62EC5" w:rsidRDefault="00E62EC5" w:rsidP="00E34A0C">
      <w:r>
        <w:separator/>
      </w:r>
    </w:p>
  </w:footnote>
  <w:footnote w:type="continuationSeparator" w:id="0">
    <w:p w14:paraId="457ABEF2" w14:textId="77777777" w:rsidR="00E62EC5" w:rsidRDefault="00E62EC5" w:rsidP="00E34A0C">
      <w:r>
        <w:continuationSeparator/>
      </w:r>
    </w:p>
  </w:footnote>
  <w:footnote w:type="continuationNotice" w:id="1">
    <w:p w14:paraId="366158DA" w14:textId="77777777" w:rsidR="00E62EC5" w:rsidRDefault="00E62E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6A3C4807" w14:textId="77777777" w:rsidR="00444698" w:rsidRDefault="00E62EC5">
        <w:pPr>
          <w:pStyle w:val="Header"/>
        </w:pPr>
        <w:r>
          <w:rPr>
            <w:noProof/>
          </w:rPr>
          <w:pict w14:anchorId="6CAFA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1A71"/>
    <w:multiLevelType w:val="hybridMultilevel"/>
    <w:tmpl w:val="3268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222E8"/>
    <w:multiLevelType w:val="hybridMultilevel"/>
    <w:tmpl w:val="CEE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76831"/>
    <w:multiLevelType w:val="hybridMultilevel"/>
    <w:tmpl w:val="ECE82A84"/>
    <w:lvl w:ilvl="0" w:tplc="4E6E5D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84B34"/>
    <w:multiLevelType w:val="hybridMultilevel"/>
    <w:tmpl w:val="9AB8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B17F7"/>
    <w:multiLevelType w:val="hybridMultilevel"/>
    <w:tmpl w:val="3792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47B13"/>
    <w:multiLevelType w:val="hybridMultilevel"/>
    <w:tmpl w:val="AF8A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F23E4"/>
    <w:multiLevelType w:val="hybridMultilevel"/>
    <w:tmpl w:val="0622AB62"/>
    <w:lvl w:ilvl="0" w:tplc="77E2AE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C7851"/>
    <w:multiLevelType w:val="hybridMultilevel"/>
    <w:tmpl w:val="3488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847C3"/>
    <w:multiLevelType w:val="hybridMultilevel"/>
    <w:tmpl w:val="87962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281BCC"/>
    <w:multiLevelType w:val="hybridMultilevel"/>
    <w:tmpl w:val="9DD8E968"/>
    <w:lvl w:ilvl="0" w:tplc="5B345484">
      <w:start w:val="1"/>
      <w:numFmt w:val="bullet"/>
      <w:pStyle w:val="Bullets"/>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3F3D72"/>
    <w:multiLevelType w:val="hybridMultilevel"/>
    <w:tmpl w:val="1E8C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1"/>
  </w:num>
  <w:num w:numId="5">
    <w:abstractNumId w:val="13"/>
  </w:num>
  <w:num w:numId="6">
    <w:abstractNumId w:val="10"/>
  </w:num>
  <w:num w:numId="7">
    <w:abstractNumId w:val="4"/>
  </w:num>
  <w:num w:numId="8">
    <w:abstractNumId w:val="18"/>
  </w:num>
  <w:num w:numId="9">
    <w:abstractNumId w:val="1"/>
  </w:num>
  <w:num w:numId="10">
    <w:abstractNumId w:val="14"/>
  </w:num>
  <w:num w:numId="11">
    <w:abstractNumId w:val="5"/>
  </w:num>
  <w:num w:numId="12">
    <w:abstractNumId w:val="15"/>
  </w:num>
  <w:num w:numId="13">
    <w:abstractNumId w:val="20"/>
  </w:num>
  <w:num w:numId="14">
    <w:abstractNumId w:val="19"/>
  </w:num>
  <w:num w:numId="15">
    <w:abstractNumId w:val="9"/>
  </w:num>
  <w:num w:numId="16">
    <w:abstractNumId w:val="12"/>
  </w:num>
  <w:num w:numId="17">
    <w:abstractNumId w:val="6"/>
  </w:num>
  <w:num w:numId="18">
    <w:abstractNumId w:val="17"/>
  </w:num>
  <w:num w:numId="19">
    <w:abstractNumId w:val="3"/>
  </w:num>
  <w:num w:numId="20">
    <w:abstractNumId w:val="21"/>
  </w:num>
  <w:num w:numId="21">
    <w:abstractNumId w:val="8"/>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C2"/>
    <w:rsid w:val="000029FD"/>
    <w:rsid w:val="000064FF"/>
    <w:rsid w:val="00014BF9"/>
    <w:rsid w:val="00026512"/>
    <w:rsid w:val="00042625"/>
    <w:rsid w:val="00053322"/>
    <w:rsid w:val="00054480"/>
    <w:rsid w:val="00060A54"/>
    <w:rsid w:val="00062345"/>
    <w:rsid w:val="00063536"/>
    <w:rsid w:val="0006498F"/>
    <w:rsid w:val="00067E82"/>
    <w:rsid w:val="00070D95"/>
    <w:rsid w:val="00077519"/>
    <w:rsid w:val="0007769E"/>
    <w:rsid w:val="000952E5"/>
    <w:rsid w:val="000A39F4"/>
    <w:rsid w:val="000A732B"/>
    <w:rsid w:val="000A758C"/>
    <w:rsid w:val="000B037D"/>
    <w:rsid w:val="000B0BA0"/>
    <w:rsid w:val="000B1F45"/>
    <w:rsid w:val="000B45E1"/>
    <w:rsid w:val="000B53FB"/>
    <w:rsid w:val="000B65AA"/>
    <w:rsid w:val="000C3F92"/>
    <w:rsid w:val="000E1812"/>
    <w:rsid w:val="000E1C4A"/>
    <w:rsid w:val="000E6D71"/>
    <w:rsid w:val="000E6F73"/>
    <w:rsid w:val="000F260A"/>
    <w:rsid w:val="000F3546"/>
    <w:rsid w:val="000F6243"/>
    <w:rsid w:val="001010F9"/>
    <w:rsid w:val="00116C8E"/>
    <w:rsid w:val="00131AAE"/>
    <w:rsid w:val="00150AFC"/>
    <w:rsid w:val="00153087"/>
    <w:rsid w:val="00163783"/>
    <w:rsid w:val="00180809"/>
    <w:rsid w:val="00180F69"/>
    <w:rsid w:val="0018471F"/>
    <w:rsid w:val="00187B63"/>
    <w:rsid w:val="0019587F"/>
    <w:rsid w:val="001A3642"/>
    <w:rsid w:val="001B10D0"/>
    <w:rsid w:val="001D2044"/>
    <w:rsid w:val="001D597F"/>
    <w:rsid w:val="001E0652"/>
    <w:rsid w:val="001F558B"/>
    <w:rsid w:val="001F7A77"/>
    <w:rsid w:val="002001A8"/>
    <w:rsid w:val="0020598D"/>
    <w:rsid w:val="00206060"/>
    <w:rsid w:val="00206C04"/>
    <w:rsid w:val="00232DEB"/>
    <w:rsid w:val="0023301B"/>
    <w:rsid w:val="00245576"/>
    <w:rsid w:val="002462EF"/>
    <w:rsid w:val="00246EA3"/>
    <w:rsid w:val="00262E32"/>
    <w:rsid w:val="002640CD"/>
    <w:rsid w:val="002647C6"/>
    <w:rsid w:val="00266D4F"/>
    <w:rsid w:val="00274072"/>
    <w:rsid w:val="00274893"/>
    <w:rsid w:val="002944DD"/>
    <w:rsid w:val="002951E9"/>
    <w:rsid w:val="002A7A04"/>
    <w:rsid w:val="002B161B"/>
    <w:rsid w:val="002C6AFE"/>
    <w:rsid w:val="002D0921"/>
    <w:rsid w:val="002D2B85"/>
    <w:rsid w:val="002D5210"/>
    <w:rsid w:val="002D6BDD"/>
    <w:rsid w:val="002E07BA"/>
    <w:rsid w:val="002E13EE"/>
    <w:rsid w:val="002E1A38"/>
    <w:rsid w:val="002E7889"/>
    <w:rsid w:val="002F3A50"/>
    <w:rsid w:val="00300A18"/>
    <w:rsid w:val="00303EE6"/>
    <w:rsid w:val="00305A68"/>
    <w:rsid w:val="00312A3A"/>
    <w:rsid w:val="00334BB0"/>
    <w:rsid w:val="00336D8B"/>
    <w:rsid w:val="00336F77"/>
    <w:rsid w:val="00340641"/>
    <w:rsid w:val="00341613"/>
    <w:rsid w:val="003556B6"/>
    <w:rsid w:val="00365E99"/>
    <w:rsid w:val="0037551A"/>
    <w:rsid w:val="00375B5A"/>
    <w:rsid w:val="00375B6A"/>
    <w:rsid w:val="0037784B"/>
    <w:rsid w:val="003866F3"/>
    <w:rsid w:val="00394B05"/>
    <w:rsid w:val="003A055D"/>
    <w:rsid w:val="003A45A0"/>
    <w:rsid w:val="003B49C6"/>
    <w:rsid w:val="003E7D22"/>
    <w:rsid w:val="003F397F"/>
    <w:rsid w:val="003F6D10"/>
    <w:rsid w:val="00411752"/>
    <w:rsid w:val="00411883"/>
    <w:rsid w:val="00413A25"/>
    <w:rsid w:val="00424857"/>
    <w:rsid w:val="00426D7F"/>
    <w:rsid w:val="00427E24"/>
    <w:rsid w:val="004315F6"/>
    <w:rsid w:val="00437FB4"/>
    <w:rsid w:val="004428E7"/>
    <w:rsid w:val="0044453B"/>
    <w:rsid w:val="00444698"/>
    <w:rsid w:val="004533CE"/>
    <w:rsid w:val="00455ECE"/>
    <w:rsid w:val="0046097E"/>
    <w:rsid w:val="0046467E"/>
    <w:rsid w:val="00464B6E"/>
    <w:rsid w:val="00467142"/>
    <w:rsid w:val="00484DF4"/>
    <w:rsid w:val="00484EB7"/>
    <w:rsid w:val="00486ADA"/>
    <w:rsid w:val="00487E6E"/>
    <w:rsid w:val="004A4C34"/>
    <w:rsid w:val="004B5763"/>
    <w:rsid w:val="004D0C95"/>
    <w:rsid w:val="004E0684"/>
    <w:rsid w:val="004F0620"/>
    <w:rsid w:val="004F14D5"/>
    <w:rsid w:val="004F170F"/>
    <w:rsid w:val="005009B3"/>
    <w:rsid w:val="00501ED0"/>
    <w:rsid w:val="00512EFE"/>
    <w:rsid w:val="00513B7D"/>
    <w:rsid w:val="00516813"/>
    <w:rsid w:val="00526F3D"/>
    <w:rsid w:val="00527958"/>
    <w:rsid w:val="00536E87"/>
    <w:rsid w:val="00555A4A"/>
    <w:rsid w:val="00562836"/>
    <w:rsid w:val="00570AE3"/>
    <w:rsid w:val="00570B92"/>
    <w:rsid w:val="00571892"/>
    <w:rsid w:val="00590D8B"/>
    <w:rsid w:val="00593226"/>
    <w:rsid w:val="00597539"/>
    <w:rsid w:val="005A09A5"/>
    <w:rsid w:val="005A5F11"/>
    <w:rsid w:val="005A6B16"/>
    <w:rsid w:val="005C2461"/>
    <w:rsid w:val="005C279A"/>
    <w:rsid w:val="005D081E"/>
    <w:rsid w:val="005D31CD"/>
    <w:rsid w:val="005D7636"/>
    <w:rsid w:val="005E2D2C"/>
    <w:rsid w:val="0060235B"/>
    <w:rsid w:val="0060696C"/>
    <w:rsid w:val="00610A24"/>
    <w:rsid w:val="00614913"/>
    <w:rsid w:val="0062014A"/>
    <w:rsid w:val="00621047"/>
    <w:rsid w:val="00627DF9"/>
    <w:rsid w:val="00630925"/>
    <w:rsid w:val="00652801"/>
    <w:rsid w:val="006551C3"/>
    <w:rsid w:val="0065722A"/>
    <w:rsid w:val="006628DD"/>
    <w:rsid w:val="0066367A"/>
    <w:rsid w:val="0068654A"/>
    <w:rsid w:val="0069246F"/>
    <w:rsid w:val="00693725"/>
    <w:rsid w:val="00693E60"/>
    <w:rsid w:val="006A1ACA"/>
    <w:rsid w:val="006A625C"/>
    <w:rsid w:val="006B180C"/>
    <w:rsid w:val="006B2C2C"/>
    <w:rsid w:val="006C1ABA"/>
    <w:rsid w:val="006C3A36"/>
    <w:rsid w:val="006C70F8"/>
    <w:rsid w:val="006C7C54"/>
    <w:rsid w:val="006E43C3"/>
    <w:rsid w:val="006E5504"/>
    <w:rsid w:val="006F08A4"/>
    <w:rsid w:val="006F760C"/>
    <w:rsid w:val="0070309E"/>
    <w:rsid w:val="0072041B"/>
    <w:rsid w:val="00720918"/>
    <w:rsid w:val="00724DFD"/>
    <w:rsid w:val="00736732"/>
    <w:rsid w:val="00740B54"/>
    <w:rsid w:val="0074228D"/>
    <w:rsid w:val="00742605"/>
    <w:rsid w:val="00742EC1"/>
    <w:rsid w:val="00750804"/>
    <w:rsid w:val="00763C40"/>
    <w:rsid w:val="00764E63"/>
    <w:rsid w:val="00765C2C"/>
    <w:rsid w:val="0077377B"/>
    <w:rsid w:val="007817D6"/>
    <w:rsid w:val="0078541A"/>
    <w:rsid w:val="00790551"/>
    <w:rsid w:val="00795A07"/>
    <w:rsid w:val="00796E22"/>
    <w:rsid w:val="007A054F"/>
    <w:rsid w:val="007A23F6"/>
    <w:rsid w:val="007A36EA"/>
    <w:rsid w:val="007A3C14"/>
    <w:rsid w:val="007B0BF6"/>
    <w:rsid w:val="007B4D85"/>
    <w:rsid w:val="007C7C27"/>
    <w:rsid w:val="007F1D04"/>
    <w:rsid w:val="007F1EB1"/>
    <w:rsid w:val="007F238E"/>
    <w:rsid w:val="007F6DB7"/>
    <w:rsid w:val="007F6F1B"/>
    <w:rsid w:val="00801E96"/>
    <w:rsid w:val="00805AD4"/>
    <w:rsid w:val="00807515"/>
    <w:rsid w:val="00832696"/>
    <w:rsid w:val="00833247"/>
    <w:rsid w:val="008340D8"/>
    <w:rsid w:val="00845D64"/>
    <w:rsid w:val="008556FD"/>
    <w:rsid w:val="00856EEF"/>
    <w:rsid w:val="00865A37"/>
    <w:rsid w:val="00871F5D"/>
    <w:rsid w:val="00873678"/>
    <w:rsid w:val="00874C21"/>
    <w:rsid w:val="00875CE8"/>
    <w:rsid w:val="0087614C"/>
    <w:rsid w:val="008808EC"/>
    <w:rsid w:val="00881631"/>
    <w:rsid w:val="00886ACB"/>
    <w:rsid w:val="0089148D"/>
    <w:rsid w:val="0089722B"/>
    <w:rsid w:val="008A1633"/>
    <w:rsid w:val="008A354B"/>
    <w:rsid w:val="008A4402"/>
    <w:rsid w:val="008A6CF1"/>
    <w:rsid w:val="008C3102"/>
    <w:rsid w:val="008D0C4B"/>
    <w:rsid w:val="008E4183"/>
    <w:rsid w:val="008E41BC"/>
    <w:rsid w:val="008E4582"/>
    <w:rsid w:val="008F27D1"/>
    <w:rsid w:val="008F6C88"/>
    <w:rsid w:val="008F733B"/>
    <w:rsid w:val="00901FBB"/>
    <w:rsid w:val="00906567"/>
    <w:rsid w:val="00906C7D"/>
    <w:rsid w:val="00912A9B"/>
    <w:rsid w:val="00914EFB"/>
    <w:rsid w:val="009172BA"/>
    <w:rsid w:val="00917A64"/>
    <w:rsid w:val="00922050"/>
    <w:rsid w:val="009344C4"/>
    <w:rsid w:val="00934725"/>
    <w:rsid w:val="00934E8C"/>
    <w:rsid w:val="00940859"/>
    <w:rsid w:val="00947AEE"/>
    <w:rsid w:val="0095274B"/>
    <w:rsid w:val="00960F9A"/>
    <w:rsid w:val="00962250"/>
    <w:rsid w:val="009641A2"/>
    <w:rsid w:val="00964D07"/>
    <w:rsid w:val="00966693"/>
    <w:rsid w:val="00970073"/>
    <w:rsid w:val="0097058B"/>
    <w:rsid w:val="00973884"/>
    <w:rsid w:val="0098757E"/>
    <w:rsid w:val="009A200D"/>
    <w:rsid w:val="009A7A01"/>
    <w:rsid w:val="009B34CE"/>
    <w:rsid w:val="009D1FF3"/>
    <w:rsid w:val="009D26F5"/>
    <w:rsid w:val="009E4424"/>
    <w:rsid w:val="009E6FC1"/>
    <w:rsid w:val="009F2A73"/>
    <w:rsid w:val="009F71CB"/>
    <w:rsid w:val="00A11247"/>
    <w:rsid w:val="00A11D16"/>
    <w:rsid w:val="00A12565"/>
    <w:rsid w:val="00A20AB3"/>
    <w:rsid w:val="00A260A6"/>
    <w:rsid w:val="00A3237C"/>
    <w:rsid w:val="00A32E0A"/>
    <w:rsid w:val="00A4747D"/>
    <w:rsid w:val="00A5136F"/>
    <w:rsid w:val="00A5191A"/>
    <w:rsid w:val="00A600D1"/>
    <w:rsid w:val="00A90A1B"/>
    <w:rsid w:val="00AA432F"/>
    <w:rsid w:val="00AA4935"/>
    <w:rsid w:val="00AB2D3B"/>
    <w:rsid w:val="00AB756F"/>
    <w:rsid w:val="00AC2167"/>
    <w:rsid w:val="00AC36C9"/>
    <w:rsid w:val="00AC732C"/>
    <w:rsid w:val="00AD1996"/>
    <w:rsid w:val="00AE0CF2"/>
    <w:rsid w:val="00AF2066"/>
    <w:rsid w:val="00AF3B15"/>
    <w:rsid w:val="00B15513"/>
    <w:rsid w:val="00B24C97"/>
    <w:rsid w:val="00B26C38"/>
    <w:rsid w:val="00B35895"/>
    <w:rsid w:val="00B40ACF"/>
    <w:rsid w:val="00B413FA"/>
    <w:rsid w:val="00B46425"/>
    <w:rsid w:val="00B469AF"/>
    <w:rsid w:val="00B5701C"/>
    <w:rsid w:val="00B57ACF"/>
    <w:rsid w:val="00B65263"/>
    <w:rsid w:val="00BA44B5"/>
    <w:rsid w:val="00BA4B4F"/>
    <w:rsid w:val="00BA7E30"/>
    <w:rsid w:val="00BB5547"/>
    <w:rsid w:val="00BC1245"/>
    <w:rsid w:val="00BD565D"/>
    <w:rsid w:val="00BD631F"/>
    <w:rsid w:val="00BE1D13"/>
    <w:rsid w:val="00BE2638"/>
    <w:rsid w:val="00BE5B15"/>
    <w:rsid w:val="00C0032B"/>
    <w:rsid w:val="00C116A5"/>
    <w:rsid w:val="00C15B46"/>
    <w:rsid w:val="00C327D3"/>
    <w:rsid w:val="00C424E2"/>
    <w:rsid w:val="00C51074"/>
    <w:rsid w:val="00C513BF"/>
    <w:rsid w:val="00C515BE"/>
    <w:rsid w:val="00C556F9"/>
    <w:rsid w:val="00C577C1"/>
    <w:rsid w:val="00C70DDA"/>
    <w:rsid w:val="00C754D7"/>
    <w:rsid w:val="00C81371"/>
    <w:rsid w:val="00C94A65"/>
    <w:rsid w:val="00C97227"/>
    <w:rsid w:val="00CA03E7"/>
    <w:rsid w:val="00CB257C"/>
    <w:rsid w:val="00CB4D82"/>
    <w:rsid w:val="00CC2ED1"/>
    <w:rsid w:val="00CC50C0"/>
    <w:rsid w:val="00CC70F2"/>
    <w:rsid w:val="00CD2E69"/>
    <w:rsid w:val="00CD4B50"/>
    <w:rsid w:val="00CD75C2"/>
    <w:rsid w:val="00CE1A6F"/>
    <w:rsid w:val="00CE2869"/>
    <w:rsid w:val="00CF3536"/>
    <w:rsid w:val="00CF434D"/>
    <w:rsid w:val="00D0681A"/>
    <w:rsid w:val="00D07BE0"/>
    <w:rsid w:val="00D212EE"/>
    <w:rsid w:val="00D237CB"/>
    <w:rsid w:val="00D334F9"/>
    <w:rsid w:val="00D33C69"/>
    <w:rsid w:val="00D376B3"/>
    <w:rsid w:val="00D4168A"/>
    <w:rsid w:val="00D44BAE"/>
    <w:rsid w:val="00D47C6B"/>
    <w:rsid w:val="00D60058"/>
    <w:rsid w:val="00D6380E"/>
    <w:rsid w:val="00D711C0"/>
    <w:rsid w:val="00D761B7"/>
    <w:rsid w:val="00D76914"/>
    <w:rsid w:val="00D8477F"/>
    <w:rsid w:val="00D854A6"/>
    <w:rsid w:val="00D94234"/>
    <w:rsid w:val="00DC1F04"/>
    <w:rsid w:val="00DC5C27"/>
    <w:rsid w:val="00DC74E2"/>
    <w:rsid w:val="00DD2E69"/>
    <w:rsid w:val="00DE6354"/>
    <w:rsid w:val="00DF5EFF"/>
    <w:rsid w:val="00E11CB6"/>
    <w:rsid w:val="00E128C9"/>
    <w:rsid w:val="00E34A0C"/>
    <w:rsid w:val="00E34CC9"/>
    <w:rsid w:val="00E3798E"/>
    <w:rsid w:val="00E404D1"/>
    <w:rsid w:val="00E42E4C"/>
    <w:rsid w:val="00E62EC5"/>
    <w:rsid w:val="00E64E5E"/>
    <w:rsid w:val="00E72DD3"/>
    <w:rsid w:val="00E77EA6"/>
    <w:rsid w:val="00E97899"/>
    <w:rsid w:val="00EA70BA"/>
    <w:rsid w:val="00EA7454"/>
    <w:rsid w:val="00EB0CEB"/>
    <w:rsid w:val="00EB17FE"/>
    <w:rsid w:val="00EB1CF1"/>
    <w:rsid w:val="00EB29AC"/>
    <w:rsid w:val="00EB75A3"/>
    <w:rsid w:val="00EC12ED"/>
    <w:rsid w:val="00ED5C2A"/>
    <w:rsid w:val="00EE2FB0"/>
    <w:rsid w:val="00EF1BEB"/>
    <w:rsid w:val="00EF400A"/>
    <w:rsid w:val="00EF5E91"/>
    <w:rsid w:val="00F05745"/>
    <w:rsid w:val="00F16F7A"/>
    <w:rsid w:val="00F17A3B"/>
    <w:rsid w:val="00F52C59"/>
    <w:rsid w:val="00F53E60"/>
    <w:rsid w:val="00F6234F"/>
    <w:rsid w:val="00F74E2A"/>
    <w:rsid w:val="00F8128A"/>
    <w:rsid w:val="00F91E44"/>
    <w:rsid w:val="00F95B32"/>
    <w:rsid w:val="00FA1769"/>
    <w:rsid w:val="00FA3390"/>
    <w:rsid w:val="00FA74D2"/>
    <w:rsid w:val="00FB03D6"/>
    <w:rsid w:val="00FB469F"/>
    <w:rsid w:val="00FC5DB0"/>
    <w:rsid w:val="00FD685E"/>
    <w:rsid w:val="00FE03C5"/>
    <w:rsid w:val="00FE1112"/>
    <w:rsid w:val="00FE17B3"/>
    <w:rsid w:val="00FF1EA4"/>
    <w:rsid w:val="00FF3D2C"/>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F38506"/>
  <w15:chartTrackingRefBased/>
  <w15:docId w15:val="{4E5AC409-24CF-434F-AC36-4DEF5E1C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DE6354"/>
    <w:pPr>
      <w:numPr>
        <w:numId w:val="13"/>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paragraph" w:customStyle="1" w:styleId="GEITableText">
    <w:name w:val="GEI Table Text"/>
    <w:basedOn w:val="Normal"/>
    <w:rsid w:val="007F1EB1"/>
    <w:pPr>
      <w:spacing w:before="40" w:after="40"/>
      <w:outlineLvl w:val="0"/>
    </w:pPr>
    <w:rPr>
      <w:rFonts w:ascii="Franklin Gothic Book" w:eastAsia="Times New Roman" w:hAnsi="Franklin Gothic Book" w:cs="Arial"/>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4q605kf85rah3dr2fmqdfqs0ntr8kday" TargetMode="External"/><Relationship Id="rId3" Type="http://schemas.openxmlformats.org/officeDocument/2006/relationships/customXml" Target="../customXml/item3.xml"/><Relationship Id="rId21" Type="http://schemas.openxmlformats.org/officeDocument/2006/relationships/hyperlink" Target="https://fortress.wa.gov/ecy/publications/summarypages/1911089.html" TargetMode="External"/><Relationship Id="rId7" Type="http://schemas.openxmlformats.org/officeDocument/2006/relationships/settings" Target="settings.xml"/><Relationship Id="rId12" Type="http://schemas.openxmlformats.org/officeDocument/2006/relationships/hyperlink" Target="https://www.ezview.wa.gov/site/alias__1962/37321/watershed_restoration_and_enhancement_-_wria_8.aspx" TargetMode="External"/><Relationship Id="rId17" Type="http://schemas.openxmlformats.org/officeDocument/2006/relationships/hyperlink" Target="https://ecology.wa.gov/Events/WR/WRSRP2020/NWRO" TargetMode="External"/><Relationship Id="rId2" Type="http://schemas.openxmlformats.org/officeDocument/2006/relationships/customXml" Target="../customXml/item2.xml"/><Relationship Id="rId16" Type="http://schemas.openxmlformats.org/officeDocument/2006/relationships/hyperlink" Target="https://ecology.wa.gov/About-us/How-we-operate/Grants-loans/Find-a-grant-or-loan/Streamflow-restoration-implementation-grants" TargetMode="External"/><Relationship Id="rId20" Type="http://schemas.openxmlformats.org/officeDocument/2006/relationships/hyperlink" Target="https://app.box.com/s/x2spsjnvdat7s1vxtj6ysy9qx2v0axh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box.com/s/7t97yj0svuzc4vop2ljm18ig9rf8g0z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box.com/s/bemdxp9xdf8lx2u5o27kqouen8xx3yc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cology.wa.gov/About-us/How-we-operate/Grants-loans/Find-a-grant-or-loan/Streamflow-restoration-implementation-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8</WRIA>
    <Accessibility xmlns="81b753b0-5f84-4476-b087-97d9c3e0d4e3">Completed</Acces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350269f3-3b7f-4ae5-8e03-0cee55758208"/>
  </ds:schemaRefs>
</ds:datastoreItem>
</file>

<file path=customXml/itemProps2.xml><?xml version="1.0" encoding="utf-8"?>
<ds:datastoreItem xmlns:ds="http://schemas.openxmlformats.org/officeDocument/2006/customXml" ds:itemID="{F9F3FB97-9B2D-48C1-973B-62EEF8CA380E}"/>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8D08D85B-1198-4A79-B6A8-38F0BA8D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Meeting Summary</vt:lpstr>
    </vt:vector>
  </TitlesOfParts>
  <Company>WA Department of Ecology</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8 WREC October 2019 Meeting Summary - Draft</dc:title>
  <dc:subject>March agenda</dc:subject>
  <dc:creator>Potts, Stephanie (ECY)</dc:creator>
  <cp:keywords/>
  <dc:description/>
  <cp:lastModifiedBy>Potts, Stephanie (ECY)</cp:lastModifiedBy>
  <cp:revision>28</cp:revision>
  <cp:lastPrinted>2018-08-22T19:01:00Z</cp:lastPrinted>
  <dcterms:created xsi:type="dcterms:W3CDTF">2019-10-29T20:03:00Z</dcterms:created>
  <dcterms:modified xsi:type="dcterms:W3CDTF">2019-11-06T23:36:00Z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