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22E69" w14:textId="5FD22E7A" w:rsidR="00C746DB" w:rsidRPr="00532993" w:rsidRDefault="000A5787" w:rsidP="00532993">
      <w:pPr>
        <w:pStyle w:val="Heading1"/>
      </w:pPr>
      <w:r w:rsidRPr="00532993">
        <w:t>Duwamish-Green</w:t>
      </w:r>
      <w:r w:rsidR="00BE0BFF" w:rsidRPr="00532993">
        <w:t xml:space="preserve"> (WRIA </w:t>
      </w:r>
      <w:r w:rsidRPr="00532993">
        <w:t>9</w:t>
      </w:r>
      <w:r w:rsidR="00BE0BFF" w:rsidRPr="00532993">
        <w:t>)</w:t>
      </w:r>
    </w:p>
    <w:p w14:paraId="1C6B48EA" w14:textId="77777777" w:rsidR="00C746DB" w:rsidRPr="00532993" w:rsidRDefault="00C746DB" w:rsidP="00532993">
      <w:pPr>
        <w:pStyle w:val="Heading1"/>
      </w:pPr>
      <w:r w:rsidRPr="00532993">
        <w:t>Watershed Restoration and Enhancement Committee</w:t>
      </w:r>
    </w:p>
    <w:p w14:paraId="5AD8F985" w14:textId="0B64B36C" w:rsidR="00C746DB" w:rsidRPr="00532993" w:rsidRDefault="000A5787" w:rsidP="00532993">
      <w:pPr>
        <w:pStyle w:val="Heading1"/>
      </w:pPr>
      <w:r w:rsidRPr="00532993">
        <w:t>March</w:t>
      </w:r>
      <w:r w:rsidR="00A65747" w:rsidRPr="00532993">
        <w:t xml:space="preserve"> </w:t>
      </w:r>
      <w:r w:rsidR="00C746DB" w:rsidRPr="00532993">
        <w:t>Meeting Summary</w:t>
      </w:r>
    </w:p>
    <w:p w14:paraId="50E94C37" w14:textId="77777777" w:rsidR="00C746DB" w:rsidRDefault="00C746DB" w:rsidP="00C746DB">
      <w:pPr>
        <w:pStyle w:val="NoSpacing"/>
        <w:rPr>
          <w:i/>
        </w:rPr>
      </w:pPr>
    </w:p>
    <w:p w14:paraId="0165A624" w14:textId="740DEA3F" w:rsidR="003B0C30" w:rsidRDefault="00A74343" w:rsidP="003B0C30">
      <w:pPr>
        <w:pStyle w:val="NoSpacing"/>
        <w:rPr>
          <w:i/>
        </w:rPr>
      </w:pPr>
      <w:hyperlink r:id="rId10" w:history="1">
        <w:r w:rsidR="003B0C30" w:rsidRPr="003C6CE1">
          <w:rPr>
            <w:rStyle w:val="Hyperlink"/>
          </w:rPr>
          <w:t>Committee website</w:t>
        </w:r>
      </w:hyperlink>
      <w:r w:rsidR="003B0C30" w:rsidRPr="00543871">
        <w:t xml:space="preserve">: </w:t>
      </w:r>
      <w:r w:rsidR="000918F2" w:rsidRPr="000918F2">
        <w:rPr>
          <w:i/>
        </w:rPr>
        <w:t>https://www.ezview.wa.gov/site/alias__1962/37322/watershed_restoration_and_enhancement_-_wria_9.aspx</w:t>
      </w:r>
    </w:p>
    <w:p w14:paraId="33A36D86" w14:textId="77777777" w:rsidR="003B0C30" w:rsidRDefault="003B0C30" w:rsidP="003B0C30">
      <w:pPr>
        <w:pStyle w:val="NoSpacing"/>
        <w:rPr>
          <w:i/>
        </w:rPr>
      </w:pPr>
    </w:p>
    <w:p w14:paraId="1FAD7B3C" w14:textId="23F9AE04" w:rsidR="003B0C30" w:rsidRPr="00C11980" w:rsidRDefault="00C11980" w:rsidP="003B0C30">
      <w:pPr>
        <w:pStyle w:val="NoSpacing"/>
      </w:pPr>
      <w:r>
        <w:rPr>
          <w:b/>
        </w:rPr>
        <w:t xml:space="preserve">Next Meeting: </w:t>
      </w:r>
      <w:r w:rsidR="00C327FF">
        <w:t>Tuesday</w:t>
      </w:r>
      <w:r w:rsidRPr="00C11980">
        <w:t xml:space="preserve">, </w:t>
      </w:r>
      <w:r w:rsidR="00C327FF">
        <w:t>April 23</w:t>
      </w:r>
      <w:r w:rsidRPr="00C11980">
        <w:t xml:space="preserve">, </w:t>
      </w:r>
      <w:r w:rsidRPr="00202280">
        <w:t xml:space="preserve">2019 </w:t>
      </w:r>
      <w:r w:rsidR="004D21D6" w:rsidRPr="00202280">
        <w:t>from</w:t>
      </w:r>
      <w:r w:rsidRPr="00202280">
        <w:t xml:space="preserve"> </w:t>
      </w:r>
      <w:r w:rsidR="00C327FF" w:rsidRPr="00C327FF">
        <w:t>12:30</w:t>
      </w:r>
      <w:r w:rsidR="00C327FF">
        <w:t xml:space="preserve"> – 3:30 pm at the</w:t>
      </w:r>
      <w:r w:rsidR="00C327FF" w:rsidRPr="00C327FF">
        <w:t xml:space="preserve"> King County South Treatment Plant</w:t>
      </w:r>
      <w:r w:rsidRPr="00C11980">
        <w:t>.</w:t>
      </w:r>
    </w:p>
    <w:p w14:paraId="5D5D6BB3" w14:textId="77777777" w:rsidR="003B0C30" w:rsidRDefault="003B0C30" w:rsidP="003B0C30">
      <w:pPr>
        <w:pStyle w:val="NoSpacing"/>
        <w:rPr>
          <w:b/>
        </w:rPr>
      </w:pPr>
    </w:p>
    <w:p w14:paraId="63F98B61" w14:textId="77777777" w:rsidR="003B0C30" w:rsidRDefault="003B0C30" w:rsidP="003B0C30">
      <w:pPr>
        <w:pStyle w:val="Heading2"/>
      </w:pPr>
      <w:r w:rsidRPr="009C301D">
        <w:t>Meeting Information</w:t>
      </w:r>
    </w:p>
    <w:p w14:paraId="421A7BA7" w14:textId="03B3BECD" w:rsidR="00296437" w:rsidRDefault="000918F2" w:rsidP="00296437">
      <w:pPr>
        <w:pStyle w:val="NoSpacing"/>
      </w:pPr>
      <w:r>
        <w:t>Tuesday</w:t>
      </w:r>
      <w:r w:rsidR="00296437">
        <w:t xml:space="preserve">, </w:t>
      </w:r>
      <w:r>
        <w:t>March 26</w:t>
      </w:r>
      <w:r w:rsidR="00296437">
        <w:t>, 2019</w:t>
      </w:r>
    </w:p>
    <w:p w14:paraId="0D068805" w14:textId="39B6ECF6" w:rsidR="00296437" w:rsidRDefault="00296437" w:rsidP="00296437">
      <w:pPr>
        <w:pStyle w:val="NoSpacing"/>
      </w:pPr>
      <w:r>
        <w:t>12:30 pm</w:t>
      </w:r>
      <w:r w:rsidR="000918F2">
        <w:t xml:space="preserve"> – 3:30 pm</w:t>
      </w:r>
    </w:p>
    <w:p w14:paraId="21751F78" w14:textId="77777777" w:rsidR="000918F2" w:rsidRDefault="000918F2" w:rsidP="00296437">
      <w:pPr>
        <w:pStyle w:val="NoSpacing"/>
      </w:pPr>
      <w:r w:rsidRPr="000918F2">
        <w:t xml:space="preserve">Tukwila Community Center, Meeting Room A | 12424 42nd Ave S, Tukwila, WA 98168 </w:t>
      </w:r>
    </w:p>
    <w:p w14:paraId="6C983FC9" w14:textId="77777777" w:rsidR="00296437" w:rsidRDefault="00296437" w:rsidP="00296437">
      <w:pPr>
        <w:pStyle w:val="NoSpacing"/>
      </w:pPr>
    </w:p>
    <w:p w14:paraId="37FE7C15" w14:textId="77777777" w:rsidR="003B0C30" w:rsidRDefault="003B0C30" w:rsidP="003B0C30">
      <w:pPr>
        <w:pStyle w:val="Heading2"/>
      </w:pPr>
      <w:r>
        <w:t>Agenda</w:t>
      </w:r>
    </w:p>
    <w:tbl>
      <w:tblPr>
        <w:tblStyle w:val="TableGrid"/>
        <w:tblpPr w:leftFromText="180" w:rightFromText="180" w:vertAnchor="text" w:tblpY="1"/>
        <w:tblOverlap w:val="never"/>
        <w:tblW w:w="10129" w:type="dxa"/>
        <w:tblLayout w:type="fixed"/>
        <w:tblLook w:val="04A0" w:firstRow="1" w:lastRow="0" w:firstColumn="1" w:lastColumn="0" w:noHBand="0" w:noVBand="1"/>
        <w:tblCaption w:val="Agenda"/>
        <w:tblDescription w:val="Meeting agenda in chronological order. "/>
      </w:tblPr>
      <w:tblGrid>
        <w:gridCol w:w="625"/>
        <w:gridCol w:w="2970"/>
        <w:gridCol w:w="1170"/>
        <w:gridCol w:w="1350"/>
        <w:gridCol w:w="2304"/>
        <w:gridCol w:w="1710"/>
      </w:tblGrid>
      <w:tr w:rsidR="000918F2" w:rsidRPr="00360320" w14:paraId="5F1C1378" w14:textId="77777777" w:rsidTr="00F50DEF">
        <w:trPr>
          <w:trHeight w:val="288"/>
          <w:tblHeader/>
        </w:trPr>
        <w:tc>
          <w:tcPr>
            <w:tcW w:w="625" w:type="dxa"/>
            <w:shd w:val="clear" w:color="auto" w:fill="D9D9D9" w:themeFill="background1" w:themeFillShade="D9"/>
          </w:tcPr>
          <w:p w14:paraId="75C5FCB3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2970" w:type="dxa"/>
            <w:shd w:val="clear" w:color="auto" w:fill="D9D9D9" w:themeFill="background1" w:themeFillShade="D9"/>
          </w:tcPr>
          <w:p w14:paraId="477C4754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Topic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05C9355D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310EE14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8A3F13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Handouts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1A26C28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Lead</w:t>
            </w:r>
          </w:p>
        </w:tc>
      </w:tr>
      <w:tr w:rsidR="000918F2" w:rsidRPr="00360320" w14:paraId="334B0F1F" w14:textId="77777777" w:rsidTr="00F50DEF">
        <w:tc>
          <w:tcPr>
            <w:tcW w:w="625" w:type="dxa"/>
          </w:tcPr>
          <w:p w14:paraId="5323D3BC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207EB7C7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Welcome and introductions</w:t>
            </w:r>
          </w:p>
        </w:tc>
        <w:tc>
          <w:tcPr>
            <w:tcW w:w="1170" w:type="dxa"/>
          </w:tcPr>
          <w:p w14:paraId="385D1706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360320">
              <w:rPr>
                <w:sz w:val="20"/>
                <w:szCs w:val="20"/>
              </w:rPr>
              <w:t>:30</w:t>
            </w:r>
            <w:r>
              <w:rPr>
                <w:sz w:val="20"/>
                <w:szCs w:val="20"/>
              </w:rPr>
              <w:t>pm</w:t>
            </w:r>
          </w:p>
        </w:tc>
        <w:tc>
          <w:tcPr>
            <w:tcW w:w="1350" w:type="dxa"/>
          </w:tcPr>
          <w:p w14:paraId="664910D4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1C177214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 w:rsidRPr="0036032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0" w:type="dxa"/>
          </w:tcPr>
          <w:p w14:paraId="4A8033AB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 w:rsidRPr="00360320">
              <w:rPr>
                <w:sz w:val="20"/>
                <w:szCs w:val="20"/>
              </w:rPr>
              <w:t>Chair</w:t>
            </w:r>
          </w:p>
        </w:tc>
      </w:tr>
      <w:tr w:rsidR="000918F2" w:rsidRPr="00360320" w14:paraId="1BC54E3E" w14:textId="77777777" w:rsidTr="00F50DEF">
        <w:tc>
          <w:tcPr>
            <w:tcW w:w="625" w:type="dxa"/>
          </w:tcPr>
          <w:p w14:paraId="618FF698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6AF4195B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 xml:space="preserve">Approval of agenda and </w:t>
            </w:r>
            <w:r>
              <w:rPr>
                <w:b/>
                <w:sz w:val="20"/>
                <w:szCs w:val="20"/>
              </w:rPr>
              <w:t>February</w:t>
            </w:r>
            <w:r w:rsidRPr="00360320">
              <w:rPr>
                <w:b/>
                <w:sz w:val="20"/>
                <w:szCs w:val="20"/>
              </w:rPr>
              <w:t xml:space="preserve"> meeting summary</w:t>
            </w:r>
          </w:p>
        </w:tc>
        <w:tc>
          <w:tcPr>
            <w:tcW w:w="1170" w:type="dxa"/>
          </w:tcPr>
          <w:p w14:paraId="317DA6BB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12:35</w:t>
            </w:r>
          </w:p>
        </w:tc>
        <w:tc>
          <w:tcPr>
            <w:tcW w:w="1350" w:type="dxa"/>
          </w:tcPr>
          <w:p w14:paraId="3C721259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</w:t>
            </w:r>
          </w:p>
        </w:tc>
        <w:tc>
          <w:tcPr>
            <w:tcW w:w="2304" w:type="dxa"/>
          </w:tcPr>
          <w:p w14:paraId="7F36C5EE" w14:textId="77777777" w:rsidR="000918F2" w:rsidRPr="00360320" w:rsidRDefault="000918F2" w:rsidP="000918F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60320">
              <w:rPr>
                <w:sz w:val="20"/>
                <w:szCs w:val="20"/>
              </w:rPr>
              <w:t>Agenda</w:t>
            </w:r>
          </w:p>
          <w:p w14:paraId="73544759" w14:textId="77777777" w:rsidR="000918F2" w:rsidRPr="00360320" w:rsidRDefault="000918F2" w:rsidP="000918F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  <w:r w:rsidRPr="003603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mtg summary</w:t>
            </w:r>
          </w:p>
        </w:tc>
        <w:tc>
          <w:tcPr>
            <w:tcW w:w="1710" w:type="dxa"/>
          </w:tcPr>
          <w:p w14:paraId="03422655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 w:rsidRPr="00360320">
              <w:rPr>
                <w:sz w:val="20"/>
                <w:szCs w:val="20"/>
              </w:rPr>
              <w:t>Facilitator</w:t>
            </w:r>
          </w:p>
        </w:tc>
      </w:tr>
      <w:tr w:rsidR="000918F2" w:rsidRPr="00360320" w14:paraId="45716329" w14:textId="77777777" w:rsidTr="00F50DEF">
        <w:tc>
          <w:tcPr>
            <w:tcW w:w="625" w:type="dxa"/>
          </w:tcPr>
          <w:p w14:paraId="7B575F50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61F07925" w14:textId="77777777" w:rsidR="000918F2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Updates and Announcements</w:t>
            </w:r>
          </w:p>
          <w:p w14:paraId="61646EA9" w14:textId="77777777" w:rsidR="000918F2" w:rsidRPr="00BA7474" w:rsidRDefault="000918F2" w:rsidP="00F50DEF">
            <w:pPr>
              <w:rPr>
                <w:i/>
                <w:sz w:val="20"/>
                <w:szCs w:val="20"/>
              </w:rPr>
            </w:pPr>
            <w:r w:rsidRPr="00BA7474">
              <w:rPr>
                <w:i/>
                <w:sz w:val="20"/>
                <w:szCs w:val="20"/>
              </w:rPr>
              <w:t>-Updates from Ecology</w:t>
            </w:r>
            <w:r>
              <w:rPr>
                <w:i/>
                <w:sz w:val="20"/>
                <w:szCs w:val="20"/>
              </w:rPr>
              <w:t>, including meeting schedule</w:t>
            </w:r>
          </w:p>
          <w:p w14:paraId="64F62AA6" w14:textId="77777777" w:rsidR="000918F2" w:rsidRPr="00FF448B" w:rsidRDefault="000918F2" w:rsidP="00F50DEF">
            <w:pPr>
              <w:rPr>
                <w:b/>
                <w:sz w:val="20"/>
                <w:szCs w:val="20"/>
              </w:rPr>
            </w:pPr>
            <w:r w:rsidRPr="00BA7474">
              <w:rPr>
                <w:i/>
                <w:sz w:val="20"/>
                <w:szCs w:val="20"/>
              </w:rPr>
              <w:t xml:space="preserve">-Roundtable announcements </w:t>
            </w:r>
          </w:p>
        </w:tc>
        <w:tc>
          <w:tcPr>
            <w:tcW w:w="1170" w:type="dxa"/>
          </w:tcPr>
          <w:p w14:paraId="52CF19AA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</w:t>
            </w:r>
          </w:p>
        </w:tc>
        <w:tc>
          <w:tcPr>
            <w:tcW w:w="1350" w:type="dxa"/>
          </w:tcPr>
          <w:p w14:paraId="6E187628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3B79CFD9" w14:textId="77777777" w:rsidR="000918F2" w:rsidRPr="00A72DD6" w:rsidRDefault="000918F2" w:rsidP="000918F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72DD6">
              <w:rPr>
                <w:sz w:val="20"/>
                <w:szCs w:val="20"/>
              </w:rPr>
              <w:t>Committee calendar</w:t>
            </w:r>
          </w:p>
        </w:tc>
        <w:tc>
          <w:tcPr>
            <w:tcW w:w="1710" w:type="dxa"/>
          </w:tcPr>
          <w:p w14:paraId="4B27804A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and All</w:t>
            </w:r>
          </w:p>
        </w:tc>
      </w:tr>
      <w:tr w:rsidR="000918F2" w:rsidRPr="00360320" w14:paraId="7972407F" w14:textId="77777777" w:rsidTr="00F50DEF">
        <w:tc>
          <w:tcPr>
            <w:tcW w:w="625" w:type="dxa"/>
          </w:tcPr>
          <w:p w14:paraId="29F5F24A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5B5CC4EB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Technical Workgroup Report</w:t>
            </w:r>
          </w:p>
        </w:tc>
        <w:tc>
          <w:tcPr>
            <w:tcW w:w="1170" w:type="dxa"/>
          </w:tcPr>
          <w:p w14:paraId="10FB4284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12:55</w:t>
            </w:r>
          </w:p>
        </w:tc>
        <w:tc>
          <w:tcPr>
            <w:tcW w:w="1350" w:type="dxa"/>
          </w:tcPr>
          <w:p w14:paraId="12337EF3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5C99DE35" w14:textId="77777777" w:rsidR="000918F2" w:rsidRPr="00360320" w:rsidRDefault="000918F2" w:rsidP="00F50DEF">
            <w:pPr>
              <w:pStyle w:val="ListParagraph"/>
              <w:ind w:left="144"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5EE7E5C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and workgroup members</w:t>
            </w:r>
          </w:p>
        </w:tc>
      </w:tr>
      <w:tr w:rsidR="000918F2" w:rsidRPr="00360320" w14:paraId="4127FE0E" w14:textId="77777777" w:rsidTr="00F50DEF">
        <w:tc>
          <w:tcPr>
            <w:tcW w:w="625" w:type="dxa"/>
          </w:tcPr>
          <w:p w14:paraId="2F21475E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2ABBA51C" w14:textId="77777777" w:rsidR="000918F2" w:rsidRPr="006F4D4A" w:rsidRDefault="000918F2" w:rsidP="00F50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County Planning Overview </w:t>
            </w:r>
          </w:p>
        </w:tc>
        <w:tc>
          <w:tcPr>
            <w:tcW w:w="1170" w:type="dxa"/>
          </w:tcPr>
          <w:p w14:paraId="7BB9F358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1:05</w:t>
            </w:r>
          </w:p>
        </w:tc>
        <w:tc>
          <w:tcPr>
            <w:tcW w:w="1350" w:type="dxa"/>
          </w:tcPr>
          <w:p w14:paraId="27B95E72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&amp; discussion</w:t>
            </w:r>
          </w:p>
        </w:tc>
        <w:tc>
          <w:tcPr>
            <w:tcW w:w="2304" w:type="dxa"/>
          </w:tcPr>
          <w:p w14:paraId="0D690F69" w14:textId="77777777" w:rsidR="000918F2" w:rsidRPr="00AD43FC" w:rsidRDefault="000918F2" w:rsidP="000918F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F67F56">
              <w:rPr>
                <w:sz w:val="20"/>
                <w:szCs w:val="20"/>
              </w:rPr>
              <w:t>land use planning presentation topics</w:t>
            </w:r>
          </w:p>
        </w:tc>
        <w:tc>
          <w:tcPr>
            <w:tcW w:w="1710" w:type="dxa"/>
          </w:tcPr>
          <w:p w14:paraId="1280FA60" w14:textId="77777777" w:rsidR="000918F2" w:rsidRDefault="000918F2" w:rsidP="00F50DEF">
            <w:pPr>
              <w:rPr>
                <w:sz w:val="20"/>
                <w:szCs w:val="20"/>
              </w:rPr>
            </w:pPr>
            <w:r w:rsidRPr="00AD43FC">
              <w:rPr>
                <w:sz w:val="20"/>
                <w:szCs w:val="20"/>
              </w:rPr>
              <w:t xml:space="preserve">Karen Wolf, </w:t>
            </w:r>
          </w:p>
          <w:p w14:paraId="7911F66F" w14:textId="77777777" w:rsidR="000918F2" w:rsidRPr="00AD43FC" w:rsidRDefault="000918F2" w:rsidP="00F50DEF">
            <w:pPr>
              <w:rPr>
                <w:sz w:val="20"/>
                <w:szCs w:val="20"/>
              </w:rPr>
            </w:pPr>
            <w:r w:rsidRPr="00AD43FC">
              <w:rPr>
                <w:sz w:val="20"/>
                <w:szCs w:val="20"/>
              </w:rPr>
              <w:t>King County</w:t>
            </w:r>
          </w:p>
        </w:tc>
      </w:tr>
      <w:tr w:rsidR="000918F2" w:rsidRPr="00360320" w14:paraId="36061754" w14:textId="77777777" w:rsidTr="00F50DEF">
        <w:tc>
          <w:tcPr>
            <w:tcW w:w="625" w:type="dxa"/>
          </w:tcPr>
          <w:p w14:paraId="364A3122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574BBB38" w14:textId="77777777" w:rsidR="000918F2" w:rsidRDefault="000918F2" w:rsidP="00F50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Break</w:t>
            </w:r>
          </w:p>
        </w:tc>
        <w:tc>
          <w:tcPr>
            <w:tcW w:w="1170" w:type="dxa"/>
          </w:tcPr>
          <w:p w14:paraId="0F5A3355" w14:textId="77777777" w:rsidR="000918F2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2:15</w:t>
            </w:r>
          </w:p>
        </w:tc>
        <w:tc>
          <w:tcPr>
            <w:tcW w:w="1350" w:type="dxa"/>
          </w:tcPr>
          <w:p w14:paraId="126FEB25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6A9CA4CF" w14:textId="77777777" w:rsidR="000918F2" w:rsidRPr="006F4D4A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66B8626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</w:tr>
      <w:tr w:rsidR="000918F2" w:rsidRPr="00360320" w14:paraId="29B1743C" w14:textId="77777777" w:rsidTr="00F50DEF">
        <w:tc>
          <w:tcPr>
            <w:tcW w:w="625" w:type="dxa"/>
          </w:tcPr>
          <w:p w14:paraId="22B9BBD9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4A682E80" w14:textId="77777777" w:rsidR="000918F2" w:rsidRDefault="000918F2" w:rsidP="00F50D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King County Water Availability Study</w:t>
            </w:r>
          </w:p>
        </w:tc>
        <w:tc>
          <w:tcPr>
            <w:tcW w:w="1170" w:type="dxa"/>
          </w:tcPr>
          <w:p w14:paraId="19CCC6F5" w14:textId="77777777" w:rsidR="000918F2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2:25</w:t>
            </w:r>
          </w:p>
        </w:tc>
        <w:tc>
          <w:tcPr>
            <w:tcW w:w="1350" w:type="dxa"/>
          </w:tcPr>
          <w:p w14:paraId="5FF97267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 &amp; discussion</w:t>
            </w:r>
          </w:p>
        </w:tc>
        <w:tc>
          <w:tcPr>
            <w:tcW w:w="2304" w:type="dxa"/>
          </w:tcPr>
          <w:p w14:paraId="7FA6CB9B" w14:textId="77777777" w:rsidR="000918F2" w:rsidRPr="001325E0" w:rsidRDefault="000918F2" w:rsidP="000918F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Water Availability and permitting study </w:t>
            </w:r>
          </w:p>
        </w:tc>
        <w:tc>
          <w:tcPr>
            <w:tcW w:w="1710" w:type="dxa"/>
          </w:tcPr>
          <w:p w14:paraId="3CDDF29E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 w:rsidRPr="00A72DD6">
              <w:rPr>
                <w:sz w:val="20"/>
                <w:szCs w:val="20"/>
              </w:rPr>
              <w:t>Eric Ferguson</w:t>
            </w:r>
            <w:r>
              <w:rPr>
                <w:sz w:val="20"/>
                <w:szCs w:val="20"/>
              </w:rPr>
              <w:t>, King County</w:t>
            </w:r>
          </w:p>
        </w:tc>
      </w:tr>
      <w:tr w:rsidR="000918F2" w:rsidRPr="00360320" w14:paraId="13A9B93A" w14:textId="77777777" w:rsidTr="00F50DEF">
        <w:tc>
          <w:tcPr>
            <w:tcW w:w="625" w:type="dxa"/>
          </w:tcPr>
          <w:p w14:paraId="17C4FDA9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7B440A64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>Action Items and Next Steps</w:t>
            </w:r>
          </w:p>
        </w:tc>
        <w:tc>
          <w:tcPr>
            <w:tcW w:w="1170" w:type="dxa"/>
          </w:tcPr>
          <w:p w14:paraId="7C4FA1E6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3:10</w:t>
            </w:r>
          </w:p>
        </w:tc>
        <w:tc>
          <w:tcPr>
            <w:tcW w:w="1350" w:type="dxa"/>
          </w:tcPr>
          <w:p w14:paraId="1602F343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A3B0AD0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161A8D41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 w:rsidRPr="00360320">
              <w:rPr>
                <w:sz w:val="20"/>
                <w:szCs w:val="20"/>
              </w:rPr>
              <w:t>Facilitator and Chair</w:t>
            </w:r>
          </w:p>
        </w:tc>
      </w:tr>
      <w:tr w:rsidR="000918F2" w:rsidRPr="00360320" w14:paraId="4DD78421" w14:textId="77777777" w:rsidTr="00F50DEF">
        <w:tc>
          <w:tcPr>
            <w:tcW w:w="625" w:type="dxa"/>
          </w:tcPr>
          <w:p w14:paraId="7133ABE7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6656A1D8" w14:textId="77777777" w:rsidR="000918F2" w:rsidRPr="00360320" w:rsidRDefault="000918F2" w:rsidP="00F50DEF">
            <w:pPr>
              <w:rPr>
                <w:b/>
                <w:i/>
                <w:sz w:val="20"/>
                <w:szCs w:val="20"/>
              </w:rPr>
            </w:pPr>
            <w:r w:rsidRPr="00360320">
              <w:rPr>
                <w:b/>
                <w:sz w:val="20"/>
                <w:szCs w:val="20"/>
              </w:rPr>
              <w:t xml:space="preserve">Public Comment- </w:t>
            </w:r>
            <w:r w:rsidRPr="00360320">
              <w:rPr>
                <w:i/>
                <w:sz w:val="20"/>
                <w:szCs w:val="20"/>
              </w:rPr>
              <w:t>limit to 3 minutes per person</w:t>
            </w:r>
          </w:p>
        </w:tc>
        <w:tc>
          <w:tcPr>
            <w:tcW w:w="1170" w:type="dxa"/>
          </w:tcPr>
          <w:p w14:paraId="248BCF16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3:20</w:t>
            </w:r>
          </w:p>
        </w:tc>
        <w:tc>
          <w:tcPr>
            <w:tcW w:w="1350" w:type="dxa"/>
          </w:tcPr>
          <w:p w14:paraId="22943CE3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2BF0854A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53643E5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 w:rsidRPr="00360320">
              <w:rPr>
                <w:sz w:val="20"/>
                <w:szCs w:val="20"/>
              </w:rPr>
              <w:t>Facilitator</w:t>
            </w:r>
          </w:p>
        </w:tc>
      </w:tr>
      <w:tr w:rsidR="000918F2" w:rsidRPr="00360320" w14:paraId="3F7539E9" w14:textId="77777777" w:rsidTr="00F50DEF">
        <w:tc>
          <w:tcPr>
            <w:tcW w:w="625" w:type="dxa"/>
          </w:tcPr>
          <w:p w14:paraId="5FF4BAF5" w14:textId="77777777" w:rsidR="000918F2" w:rsidRPr="00360320" w:rsidRDefault="000918F2" w:rsidP="000918F2">
            <w:pPr>
              <w:pStyle w:val="ListParagraph"/>
              <w:numPr>
                <w:ilvl w:val="0"/>
                <w:numId w:val="1"/>
              </w:numPr>
              <w:ind w:left="54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4AB52218" w14:textId="77777777" w:rsidR="000918F2" w:rsidRPr="00360320" w:rsidRDefault="000918F2" w:rsidP="00F50DEF">
            <w:pPr>
              <w:rPr>
                <w:b/>
                <w:sz w:val="20"/>
                <w:szCs w:val="20"/>
              </w:rPr>
            </w:pPr>
            <w:r w:rsidRPr="00E322C9">
              <w:rPr>
                <w:b/>
                <w:sz w:val="20"/>
                <w:szCs w:val="20"/>
              </w:rPr>
              <w:t>Adjourn</w:t>
            </w:r>
          </w:p>
        </w:tc>
        <w:tc>
          <w:tcPr>
            <w:tcW w:w="1170" w:type="dxa"/>
          </w:tcPr>
          <w:p w14:paraId="21E9CB70" w14:textId="77777777" w:rsidR="000918F2" w:rsidRPr="00360320" w:rsidRDefault="000918F2" w:rsidP="00F50D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3:30</w:t>
            </w:r>
          </w:p>
        </w:tc>
        <w:tc>
          <w:tcPr>
            <w:tcW w:w="1350" w:type="dxa"/>
          </w:tcPr>
          <w:p w14:paraId="212E3D90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14:paraId="05FC87CC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43F23F5A" w14:textId="77777777" w:rsidR="000918F2" w:rsidRPr="00360320" w:rsidRDefault="000918F2" w:rsidP="00F50DEF">
            <w:pPr>
              <w:rPr>
                <w:sz w:val="20"/>
                <w:szCs w:val="20"/>
              </w:rPr>
            </w:pPr>
          </w:p>
        </w:tc>
      </w:tr>
    </w:tbl>
    <w:bookmarkEnd w:id="0"/>
    <w:p w14:paraId="4E41E164" w14:textId="5A1C5995" w:rsidR="008B55A7" w:rsidRDefault="008516C9" w:rsidP="008516C9">
      <w:pPr>
        <w:spacing w:before="240" w:after="0" w:line="240" w:lineRule="auto"/>
      </w:pPr>
      <w:r>
        <w:t xml:space="preserve">All handouts and meeting materials are available on the </w:t>
      </w:r>
      <w:hyperlink r:id="rId11" w:history="1">
        <w:r w:rsidRPr="00B10055">
          <w:rPr>
            <w:rStyle w:val="Hyperlink"/>
          </w:rPr>
          <w:t>Committee website</w:t>
        </w:r>
      </w:hyperlink>
      <w:r w:rsidR="0009324B">
        <w:t>.</w:t>
      </w:r>
    </w:p>
    <w:p w14:paraId="0CA59780" w14:textId="77777777" w:rsidR="008B55A7" w:rsidRDefault="008B55A7">
      <w:r>
        <w:br w:type="page"/>
      </w:r>
    </w:p>
    <w:p w14:paraId="5960339A" w14:textId="77777777" w:rsidR="00CE036C" w:rsidRDefault="00CE036C" w:rsidP="00CE036C">
      <w:pPr>
        <w:pStyle w:val="Heading2"/>
      </w:pPr>
      <w:r w:rsidRPr="00D60671">
        <w:lastRenderedPageBreak/>
        <w:t>Committee Representatives and Alternates in Attendance</w:t>
      </w:r>
      <w:r w:rsidR="00124055">
        <w:t>*</w:t>
      </w:r>
    </w:p>
    <w:tbl>
      <w:tblPr>
        <w:tblStyle w:val="TableGrid"/>
        <w:tblW w:w="9216" w:type="dxa"/>
        <w:tblLook w:val="04A0" w:firstRow="1" w:lastRow="0" w:firstColumn="1" w:lastColumn="0" w:noHBand="0" w:noVBand="1"/>
        <w:tblCaption w:val="Committee representatives and alternates in attendance"/>
        <w:tblDescription w:val="List of name and entity of Committee members and alternates in attendance"/>
      </w:tblPr>
      <w:tblGrid>
        <w:gridCol w:w="2448"/>
        <w:gridCol w:w="2160"/>
        <w:gridCol w:w="2448"/>
        <w:gridCol w:w="2160"/>
      </w:tblGrid>
      <w:tr w:rsidR="00C327FF" w14:paraId="136CC213" w14:textId="77777777" w:rsidTr="0009324B">
        <w:trPr>
          <w:cantSplit/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768ABE" w14:textId="77777777" w:rsidR="00C327FF" w:rsidRDefault="00C327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7AB5772F" w14:textId="77777777" w:rsidR="00C327FF" w:rsidRDefault="00C327FF">
            <w:pPr>
              <w:rPr>
                <w:b/>
              </w:rPr>
            </w:pPr>
            <w:r>
              <w:rPr>
                <w:b/>
              </w:rPr>
              <w:t>Representing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AA2FF3" w14:textId="77777777" w:rsidR="00C327FF" w:rsidRDefault="00C327FF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FE4A15" w14:textId="77777777" w:rsidR="00C327FF" w:rsidRDefault="00C327FF">
            <w:pPr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C327FF" w14:paraId="6A96162C" w14:textId="77777777" w:rsidTr="002670BC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8D83" w14:textId="439D8759" w:rsidR="00C327FF" w:rsidRDefault="00C327FF">
            <w:r>
              <w:t>Lisa Tobin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10AA3E" w14:textId="72787F82" w:rsidR="00C327FF" w:rsidRDefault="00C327FF">
            <w:r>
              <w:t>Auburn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C339" w14:textId="5DB628B6" w:rsidR="00C327FF" w:rsidRDefault="00C327FF">
            <w:r>
              <w:t>Scott Woodbury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2C1C" w14:textId="57C932B2" w:rsidR="00C327FF" w:rsidRDefault="00C327FF">
            <w:r>
              <w:t>Enumclaw</w:t>
            </w:r>
          </w:p>
        </w:tc>
      </w:tr>
      <w:tr w:rsidR="00C327FF" w14:paraId="60ACF919" w14:textId="77777777" w:rsidTr="002670BC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7452" w14:textId="1EAECF18" w:rsidR="00C327FF" w:rsidRDefault="00C327FF">
            <w:r>
              <w:t>Susan Saffery (alternate)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C43B91" w14:textId="73A603F6" w:rsidR="00C327FF" w:rsidRDefault="00C327FF">
            <w:r>
              <w:t>Seattle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F1FB" w14:textId="7B83CEE4" w:rsidR="00C327FF" w:rsidRDefault="00C327FF">
            <w:r>
              <w:t>Carla Carlson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0EE3" w14:textId="77957CAE" w:rsidR="00C327FF" w:rsidRDefault="00C327FF">
            <w:r>
              <w:t>Muckleshoot Tribe</w:t>
            </w:r>
          </w:p>
        </w:tc>
      </w:tr>
      <w:tr w:rsidR="00381E8D" w14:paraId="5578233A" w14:textId="77777777" w:rsidTr="00381E8D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1DBB" w14:textId="0AF98C99" w:rsidR="00381E8D" w:rsidRDefault="00381E8D" w:rsidP="00381E8D">
            <w:r>
              <w:t>Josh Kahan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CA6D1E" w14:textId="11B27D49" w:rsidR="00381E8D" w:rsidRDefault="00381E8D" w:rsidP="00381E8D">
            <w:r>
              <w:t>King County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C8FE1A" w14:textId="529616CE" w:rsidR="00381E8D" w:rsidRDefault="00381E8D" w:rsidP="00381E8D">
            <w:r>
              <w:t>Tom Keown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FBFE" w14:textId="62F5CF40" w:rsidR="00381E8D" w:rsidRDefault="00381E8D" w:rsidP="00381E8D">
            <w:r>
              <w:t>Covington Water District</w:t>
            </w:r>
          </w:p>
        </w:tc>
      </w:tr>
      <w:tr w:rsidR="00381E8D" w14:paraId="4C9FC939" w14:textId="77777777" w:rsidTr="00A010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4DBF" w14:textId="4F8C9032" w:rsidR="00381E8D" w:rsidRDefault="00381E8D" w:rsidP="00381E8D">
            <w:r>
              <w:t>Gina Clark (alternate)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6F84E3" w14:textId="5E84ABF9" w:rsidR="00381E8D" w:rsidRDefault="00381E8D" w:rsidP="00381E8D">
            <w:r>
              <w:t>Master Builders Association of King and Snohomish Counties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AC8B" w14:textId="0CB2A946" w:rsidR="00381E8D" w:rsidRDefault="00381E8D" w:rsidP="00381E8D">
            <w:r>
              <w:t>Trish Rolfe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0D31" w14:textId="59B95799" w:rsidR="00381E8D" w:rsidRDefault="00381E8D" w:rsidP="00381E8D">
            <w:r>
              <w:t>Center for Environmental Law and Policy</w:t>
            </w:r>
          </w:p>
        </w:tc>
      </w:tr>
      <w:tr w:rsidR="00381E8D" w14:paraId="259070A9" w14:textId="77777777" w:rsidTr="00A01021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DBA3" w14:textId="6C8D296E" w:rsidR="00381E8D" w:rsidRDefault="00381E8D" w:rsidP="00381E8D">
            <w:r>
              <w:t>Rick Reinlasoder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34F620" w14:textId="7E7B6129" w:rsidR="00381E8D" w:rsidRDefault="00381E8D" w:rsidP="00381E8D">
            <w:r>
              <w:t>King County Agriculture Program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D2F169" w14:textId="6F9E4AD7" w:rsidR="00381E8D" w:rsidRDefault="00381E8D" w:rsidP="00381E8D">
            <w:r>
              <w:t>Stewart Reinbold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FD12" w14:textId="26AA1CA2" w:rsidR="00381E8D" w:rsidRDefault="00381E8D" w:rsidP="00381E8D">
            <w:r>
              <w:t>WA Department of Fish and Wildlife</w:t>
            </w:r>
          </w:p>
        </w:tc>
      </w:tr>
      <w:tr w:rsidR="00381E8D" w14:paraId="3B080E90" w14:textId="77777777" w:rsidTr="00381E8D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0EE" w14:textId="752DECFD" w:rsidR="00381E8D" w:rsidRDefault="00381E8D" w:rsidP="00381E8D">
            <w:r>
              <w:t>Stephanie Potts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E6068" w14:textId="7DE99DA4" w:rsidR="00381E8D" w:rsidRDefault="00381E8D" w:rsidP="00381E8D">
            <w:r>
              <w:t>WA Department of Ecology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5365F" w14:textId="451698B0" w:rsidR="00381E8D" w:rsidRDefault="00381E8D" w:rsidP="00381E8D">
            <w:r>
              <w:t>Greg Volkhardt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5D0D" w14:textId="77777777" w:rsidR="00381E8D" w:rsidRDefault="00381E8D" w:rsidP="00381E8D">
            <w:r>
              <w:t xml:space="preserve">Tacoma Water, </w:t>
            </w:r>
          </w:p>
          <w:p w14:paraId="0093A405" w14:textId="3A4E8048" w:rsidR="00381E8D" w:rsidRDefault="00381E8D" w:rsidP="00381E8D">
            <w:r>
              <w:rPr>
                <w:i/>
              </w:rPr>
              <w:t>ex officio</w:t>
            </w:r>
          </w:p>
        </w:tc>
      </w:tr>
      <w:tr w:rsidR="00381E8D" w14:paraId="0A676DCA" w14:textId="77777777" w:rsidTr="007C3BCC">
        <w:trPr>
          <w:cantSplit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6D60" w14:textId="080A7AF5" w:rsidR="00381E8D" w:rsidRDefault="00381E8D" w:rsidP="00381E8D">
            <w:r>
              <w:t>Matt Goehring</w:t>
            </w:r>
            <w:r w:rsidR="00A60853">
              <w:t xml:space="preserve"> (cities caucus rep)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190888" w14:textId="77777777" w:rsidR="00381E8D" w:rsidRDefault="00381E8D" w:rsidP="00381E8D">
            <w:r>
              <w:t xml:space="preserve">WRIA 9 Watershed Ecosystem Forum, </w:t>
            </w:r>
          </w:p>
          <w:p w14:paraId="0B7B27F3" w14:textId="3E69116A" w:rsidR="00381E8D" w:rsidRDefault="00381E8D" w:rsidP="00381E8D">
            <w:r>
              <w:rPr>
                <w:i/>
              </w:rPr>
              <w:t>ex officio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B853FF" w14:textId="053C103C" w:rsidR="00381E8D" w:rsidRDefault="00381E8D" w:rsidP="00381E8D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3503" w14:textId="38ADF927" w:rsidR="00381E8D" w:rsidRDefault="00381E8D" w:rsidP="00381E8D"/>
        </w:tc>
      </w:tr>
    </w:tbl>
    <w:p w14:paraId="6B1A914F" w14:textId="34BD1BBF" w:rsidR="00A60853" w:rsidRDefault="00A60853" w:rsidP="00124055">
      <w:pPr>
        <w:pStyle w:val="NoSpacing"/>
      </w:pPr>
      <w:r>
        <w:t xml:space="preserve">Cities caucus members: Black Diamond, Normandy Park, </w:t>
      </w:r>
      <w:r w:rsidR="001C7370">
        <w:t>and Tukwila</w:t>
      </w:r>
    </w:p>
    <w:p w14:paraId="1075727A" w14:textId="51FBFB9B" w:rsidR="00124055" w:rsidRDefault="00124055" w:rsidP="00124055">
      <w:pPr>
        <w:pStyle w:val="NoSpacing"/>
      </w:pPr>
      <w:r>
        <w:t>Committee members no</w:t>
      </w:r>
      <w:r w:rsidR="00564FD8">
        <w:t xml:space="preserve">t in attendance: </w:t>
      </w:r>
      <w:r w:rsidR="002670BC">
        <w:t>Kent</w:t>
      </w:r>
    </w:p>
    <w:p w14:paraId="04B5753C" w14:textId="77777777" w:rsidR="00152FA2" w:rsidRDefault="00152FA2" w:rsidP="00152FA2">
      <w:pPr>
        <w:pStyle w:val="NoSpacing"/>
      </w:pPr>
    </w:p>
    <w:p w14:paraId="405F3A24" w14:textId="77777777" w:rsidR="00F70637" w:rsidRDefault="00F70637" w:rsidP="00152FA2">
      <w:pPr>
        <w:pStyle w:val="Heading2"/>
      </w:pPr>
      <w:r>
        <w:t>Other Attendees</w:t>
      </w:r>
    </w:p>
    <w:tbl>
      <w:tblPr>
        <w:tblStyle w:val="TableGrid"/>
        <w:tblW w:w="9216" w:type="dxa"/>
        <w:tblLook w:val="04A0" w:firstRow="1" w:lastRow="0" w:firstColumn="1" w:lastColumn="0" w:noHBand="0" w:noVBand="1"/>
        <w:tblCaption w:val="list of other attendees"/>
      </w:tblPr>
      <w:tblGrid>
        <w:gridCol w:w="2448"/>
        <w:gridCol w:w="2160"/>
        <w:gridCol w:w="2448"/>
        <w:gridCol w:w="2160"/>
      </w:tblGrid>
      <w:tr w:rsidR="000F42C7" w14:paraId="6CD579C1" w14:textId="77777777" w:rsidTr="005A622F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950B03" w14:textId="77777777" w:rsidR="000F42C7" w:rsidRDefault="000F42C7" w:rsidP="007303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hideMark/>
          </w:tcPr>
          <w:p w14:paraId="63D42377" w14:textId="77777777" w:rsidR="000F42C7" w:rsidRDefault="000F42C7" w:rsidP="007303E2">
            <w:pPr>
              <w:rPr>
                <w:b/>
              </w:rPr>
            </w:pPr>
            <w:r>
              <w:rPr>
                <w:b/>
              </w:rPr>
              <w:t>Representing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6180F8" w14:textId="77777777" w:rsidR="000F42C7" w:rsidRDefault="000F42C7" w:rsidP="007303E2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9D83C9" w14:textId="77777777" w:rsidR="000F42C7" w:rsidRDefault="000F42C7" w:rsidP="007303E2">
            <w:pPr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031F4B" w14:paraId="2DB5017C" w14:textId="77777777" w:rsidTr="005A622F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C2BE" w14:textId="03DA83CA" w:rsidR="00031F4B" w:rsidRDefault="00031F4B" w:rsidP="00031F4B">
            <w:r>
              <w:t>Ingria Jones (facilitator)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B7E6F1" w14:textId="6E2A1BE3" w:rsidR="00031F4B" w:rsidRDefault="00031F4B" w:rsidP="00031F4B">
            <w:r>
              <w:t>WA Department of Ecology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35EF3" w14:textId="6B46FC86" w:rsidR="00031F4B" w:rsidRDefault="00031F4B" w:rsidP="00031F4B">
            <w:r>
              <w:t>Karen Wolf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8159" w14:textId="1C07CD6E" w:rsidR="00031F4B" w:rsidRDefault="00031F4B" w:rsidP="00031F4B">
            <w:r>
              <w:t>King County</w:t>
            </w:r>
          </w:p>
        </w:tc>
      </w:tr>
      <w:tr w:rsidR="000F42C7" w14:paraId="253CB156" w14:textId="77777777" w:rsidTr="005A622F">
        <w:trPr>
          <w:tblHeader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B6D6" w14:textId="17018A85" w:rsidR="000F42C7" w:rsidRDefault="00031F4B" w:rsidP="007303E2">
            <w:pPr>
              <w:pStyle w:val="NoSpacing"/>
            </w:pPr>
            <w:r>
              <w:t>Eric Ferguson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A0D97A" w14:textId="406ADA15" w:rsidR="000F42C7" w:rsidRDefault="00031F4B" w:rsidP="007303E2">
            <w:pPr>
              <w:pStyle w:val="NoSpacing"/>
            </w:pPr>
            <w:r>
              <w:t>King County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C3FDD5" w14:textId="79D5E715" w:rsidR="000F42C7" w:rsidRDefault="00031F4B" w:rsidP="007303E2">
            <w:pPr>
              <w:pStyle w:val="NoSpacing"/>
            </w:pPr>
            <w:r>
              <w:t>Andrea Lauden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860F" w14:textId="0063DA94" w:rsidR="000F42C7" w:rsidRDefault="00031F4B" w:rsidP="007303E2">
            <w:pPr>
              <w:pStyle w:val="NoSpacing"/>
            </w:pPr>
            <w:r>
              <w:t>WA Department of Ecology</w:t>
            </w:r>
          </w:p>
        </w:tc>
      </w:tr>
    </w:tbl>
    <w:p w14:paraId="12E9CA0B" w14:textId="77777777" w:rsidR="00124055" w:rsidRDefault="00124055" w:rsidP="00124055">
      <w:pPr>
        <w:pStyle w:val="NoSpacing"/>
      </w:pPr>
      <w:r>
        <w:t>*Attendees list is based on sign-in sheet</w:t>
      </w:r>
    </w:p>
    <w:p w14:paraId="2DF8B6C1" w14:textId="77777777" w:rsidR="00E54BE0" w:rsidRDefault="00E54BE0" w:rsidP="00124055">
      <w:pPr>
        <w:pStyle w:val="NoSpacing"/>
      </w:pPr>
    </w:p>
    <w:p w14:paraId="3987CAC7" w14:textId="77777777" w:rsidR="00CE5434" w:rsidRDefault="00E54BE0" w:rsidP="00E54BE0">
      <w:pPr>
        <w:pStyle w:val="Heading2"/>
      </w:pPr>
      <w:r>
        <w:t xml:space="preserve">Approval of Agenda and Meeting Summary </w:t>
      </w:r>
    </w:p>
    <w:p w14:paraId="297B04C5" w14:textId="77777777" w:rsidR="00704DE6" w:rsidRPr="00683918" w:rsidRDefault="00704DE6" w:rsidP="00683918">
      <w:r w:rsidRPr="00683918">
        <w:t xml:space="preserve">There were no additions to the agenda. </w:t>
      </w:r>
    </w:p>
    <w:p w14:paraId="6F72B030" w14:textId="048D8C81" w:rsidR="00704DE6" w:rsidRPr="00683918" w:rsidRDefault="00220B4E" w:rsidP="00683918">
      <w:r>
        <w:t xml:space="preserve">There were no changes to the meeting summary. </w:t>
      </w:r>
      <w:r w:rsidR="003D4EFE">
        <w:t>Matt Goehring voted on the meetin</w:t>
      </w:r>
      <w:r w:rsidR="008B55A7">
        <w:t>g summary for the cities caucus</w:t>
      </w:r>
      <w:r w:rsidR="003D4EFE">
        <w:t xml:space="preserve"> because caucus members were present at the February meeting. At future meetings, the cities caucus representative will abstain from voting on the meeting summary. </w:t>
      </w:r>
      <w:r w:rsidR="00704DE6" w:rsidRPr="00683918">
        <w:t xml:space="preserve">The Committee voted to approve the </w:t>
      </w:r>
      <w:r>
        <w:t>February</w:t>
      </w:r>
      <w:r w:rsidR="00704DE6" w:rsidRPr="00683918">
        <w:t xml:space="preserve"> meeting summary. The final </w:t>
      </w:r>
      <w:r w:rsidR="00704DE6" w:rsidRPr="00551467">
        <w:t>version is posted on the</w:t>
      </w:r>
      <w:r w:rsidR="00704DE6" w:rsidRPr="00683918">
        <w:t xml:space="preserve"> Committee website.</w:t>
      </w:r>
      <w:r w:rsidR="003D4EFE">
        <w:t xml:space="preserve"> </w:t>
      </w:r>
    </w:p>
    <w:p w14:paraId="1DDE0B3D" w14:textId="707B3470" w:rsidR="004F48A2" w:rsidRPr="00683918" w:rsidRDefault="004E01F2" w:rsidP="00250C81">
      <w:pPr>
        <w:pStyle w:val="Heading2"/>
      </w:pPr>
      <w:r w:rsidRPr="00683918">
        <w:t>Updates and Announcements</w:t>
      </w:r>
    </w:p>
    <w:p w14:paraId="7AD12313" w14:textId="2487F348" w:rsidR="00A52A06" w:rsidRDefault="004E01F2" w:rsidP="00683918">
      <w:r w:rsidRPr="00683918">
        <w:t>Stephanie provided the following Department of Ecology updates:</w:t>
      </w:r>
    </w:p>
    <w:p w14:paraId="10AA82F3" w14:textId="19840587" w:rsidR="00E02A93" w:rsidRPr="00532993" w:rsidRDefault="00042E39" w:rsidP="00532993">
      <w:pPr>
        <w:pStyle w:val="Heading3"/>
      </w:pPr>
      <w:r w:rsidRPr="00532993">
        <w:t>Cities c</w:t>
      </w:r>
      <w:r w:rsidR="00E02A93" w:rsidRPr="00532993">
        <w:t>aucus</w:t>
      </w:r>
    </w:p>
    <w:p w14:paraId="2B7965E5" w14:textId="39B0E238" w:rsidR="00E02A93" w:rsidRDefault="00E02A93" w:rsidP="00E02A93">
      <w:r>
        <w:t>The Cities caucus was created with Black Diamond, Normandy Park and Tukwila as members. Stephanie can share the “opt in” emails with Committee members, if requested. Matt Goehring</w:t>
      </w:r>
      <w:r w:rsidR="003D4EFE">
        <w:t>, staff for the W</w:t>
      </w:r>
      <w:r w:rsidR="008B55A7">
        <w:t>RIA 9 Watershed Ecosystem Forum</w:t>
      </w:r>
      <w:r>
        <w:t xml:space="preserve"> is the caucus representative. </w:t>
      </w:r>
    </w:p>
    <w:p w14:paraId="5E2905A5" w14:textId="069365EE" w:rsidR="00E02A93" w:rsidRDefault="00E02A93" w:rsidP="00532993">
      <w:pPr>
        <w:pStyle w:val="Heading3"/>
      </w:pPr>
      <w:r>
        <w:t>Facilitation support</w:t>
      </w:r>
    </w:p>
    <w:p w14:paraId="0126FF64" w14:textId="104983AE" w:rsidR="00E02A93" w:rsidRDefault="00E02A93" w:rsidP="00E02A93">
      <w:r>
        <w:t xml:space="preserve">Ruth Bell from Cascadia Consulting will be the facilitator for WRIA 9. </w:t>
      </w:r>
      <w:r w:rsidR="00250C81">
        <w:t>We hope</w:t>
      </w:r>
      <w:r>
        <w:t xml:space="preserve"> to have her at the April meeting. </w:t>
      </w:r>
    </w:p>
    <w:p w14:paraId="362BB70F" w14:textId="77777777" w:rsidR="00E02A93" w:rsidRDefault="00E02A93" w:rsidP="00532993">
      <w:pPr>
        <w:pStyle w:val="Heading3"/>
      </w:pPr>
      <w:r>
        <w:lastRenderedPageBreak/>
        <w:t>Technical support</w:t>
      </w:r>
    </w:p>
    <w:p w14:paraId="039F744E" w14:textId="71453A52" w:rsidR="00E02A93" w:rsidRDefault="00E02A93" w:rsidP="00E02A93">
      <w:r>
        <w:t xml:space="preserve">GeoEngineers was selected as the technical consultant for WRIAs 7, 8 and 9. </w:t>
      </w:r>
      <w:r w:rsidR="00250C81">
        <w:t xml:space="preserve">Their initial work will focus on </w:t>
      </w:r>
      <w:r>
        <w:t>subbasin delineation</w:t>
      </w:r>
      <w:r w:rsidR="00250C81">
        <w:t>s</w:t>
      </w:r>
      <w:r>
        <w:t xml:space="preserve"> and </w:t>
      </w:r>
      <w:r w:rsidR="00BA6689">
        <w:t>population projections</w:t>
      </w:r>
      <w:r w:rsidR="00250C81">
        <w:t>, and they will work closely with the technical workgroup.</w:t>
      </w:r>
      <w:r>
        <w:t xml:space="preserve"> </w:t>
      </w:r>
      <w:r w:rsidR="00250C81">
        <w:t>GeoEngineers w</w:t>
      </w:r>
      <w:r>
        <w:t xml:space="preserve">ill also help with </w:t>
      </w:r>
      <w:r w:rsidR="00BA6689">
        <w:t xml:space="preserve">consumptive use estimates, </w:t>
      </w:r>
      <w:r>
        <w:t>project identification and evaluation</w:t>
      </w:r>
      <w:r w:rsidR="002D697A">
        <w:t>,</w:t>
      </w:r>
      <w:r>
        <w:t xml:space="preserve"> and the technical components of the final plan. Bridget August will be our point of contact. Northwest Hydraulic Consultants is a sub for GeoEngineers. HDR was selected for the south Puget Sound WRIAs</w:t>
      </w:r>
      <w:r w:rsidR="00250C81">
        <w:t xml:space="preserve"> 10, 12, 13, 14, and 15</w:t>
      </w:r>
      <w:r>
        <w:t xml:space="preserve">. </w:t>
      </w:r>
    </w:p>
    <w:p w14:paraId="7D62D75A" w14:textId="2DD977A7" w:rsidR="00042E39" w:rsidRDefault="00042E39" w:rsidP="00532993">
      <w:pPr>
        <w:pStyle w:val="Heading3"/>
      </w:pPr>
      <w:r>
        <w:t>Resource binders</w:t>
      </w:r>
    </w:p>
    <w:p w14:paraId="2F509F92" w14:textId="5A093DD3" w:rsidR="00E02A93" w:rsidRDefault="00250C81" w:rsidP="00E02A93">
      <w:r>
        <w:t xml:space="preserve">Each Committee member has a binder with past meeting agendas </w:t>
      </w:r>
      <w:r w:rsidR="00E02A93">
        <w:t xml:space="preserve">and </w:t>
      </w:r>
      <w:r>
        <w:t>summaries</w:t>
      </w:r>
      <w:r w:rsidR="00E02A93">
        <w:t xml:space="preserve">, operating principles, roster, RCW language and other key resources. We are still working to develop some of the materials listed on the table of contents. Please bring </w:t>
      </w:r>
      <w:r>
        <w:t>binders</w:t>
      </w:r>
      <w:r w:rsidR="00E02A93">
        <w:t xml:space="preserve"> to meetings so we can use the materials as a reference.</w:t>
      </w:r>
    </w:p>
    <w:p w14:paraId="18D101F0" w14:textId="77777777" w:rsidR="00042E39" w:rsidRDefault="00042E39" w:rsidP="00532993">
      <w:pPr>
        <w:pStyle w:val="Heading3"/>
      </w:pPr>
      <w:r>
        <w:t>WRIA 11 webinar</w:t>
      </w:r>
    </w:p>
    <w:p w14:paraId="69E4603F" w14:textId="57452DFA" w:rsidR="00E02A93" w:rsidRPr="00250C81" w:rsidRDefault="00250C81" w:rsidP="00250C81">
      <w:r>
        <w:t>The</w:t>
      </w:r>
      <w:r w:rsidR="007067FE">
        <w:t xml:space="preserve"> one-hour</w:t>
      </w:r>
      <w:r>
        <w:t xml:space="preserve"> </w:t>
      </w:r>
      <w:hyperlink r:id="rId12" w:history="1">
        <w:r w:rsidRPr="00250C81">
          <w:rPr>
            <w:rStyle w:val="Hyperlink"/>
          </w:rPr>
          <w:t xml:space="preserve">WRIA 11 </w:t>
        </w:r>
        <w:r w:rsidR="00E02A93" w:rsidRPr="00250C81">
          <w:rPr>
            <w:rStyle w:val="Hyperlink"/>
          </w:rPr>
          <w:t>lessons learned webinar</w:t>
        </w:r>
      </w:hyperlink>
      <w:r w:rsidR="00E02A93">
        <w:t xml:space="preserve"> </w:t>
      </w:r>
      <w:r>
        <w:t>is</w:t>
      </w:r>
      <w:r w:rsidR="00E02A93">
        <w:t xml:space="preserve"> posted</w:t>
      </w:r>
      <w:r>
        <w:t xml:space="preserve"> on the Ecology </w:t>
      </w:r>
      <w:hyperlink r:id="rId13" w:history="1">
        <w:r w:rsidRPr="00250C81">
          <w:rPr>
            <w:rStyle w:val="Hyperlink"/>
          </w:rPr>
          <w:t>Streamflow Restoration Planning webpage</w:t>
        </w:r>
      </w:hyperlink>
      <w:r>
        <w:t xml:space="preserve"> under “related links</w:t>
      </w:r>
      <w:r w:rsidR="004300DB">
        <w:t>.</w:t>
      </w:r>
      <w:r w:rsidR="007067FE">
        <w:t>”</w:t>
      </w:r>
      <w:r w:rsidR="004300DB">
        <w:t xml:space="preserve"> </w:t>
      </w:r>
      <w:r w:rsidRPr="00250C81">
        <w:t xml:space="preserve">Allison Osterberg from Thurston County </w:t>
      </w:r>
      <w:r w:rsidR="004300DB">
        <w:t>also</w:t>
      </w:r>
      <w:r w:rsidRPr="00250C81">
        <w:t xml:space="preserve"> presented on the Nisqually planning process to the Chehalis Basin planning group. The presentation is 35 minutes and on </w:t>
      </w:r>
      <w:hyperlink r:id="rId14" w:history="1">
        <w:r w:rsidRPr="00250C81">
          <w:rPr>
            <w:rStyle w:val="Hyperlink"/>
          </w:rPr>
          <w:t>YouTube</w:t>
        </w:r>
      </w:hyperlink>
      <w:r w:rsidRPr="00250C81">
        <w:t>.</w:t>
      </w:r>
      <w:r w:rsidR="004300DB">
        <w:t xml:space="preserve"> Please review both presentations.</w:t>
      </w:r>
    </w:p>
    <w:p w14:paraId="3F1034F9" w14:textId="77777777" w:rsidR="00042E39" w:rsidRDefault="00042E39" w:rsidP="00532993">
      <w:pPr>
        <w:pStyle w:val="Heading3"/>
      </w:pPr>
      <w:r>
        <w:t>Meeting Schedule</w:t>
      </w:r>
    </w:p>
    <w:p w14:paraId="0E8CC6E2" w14:textId="1AB43F2F" w:rsidR="00E02A93" w:rsidRPr="00683918" w:rsidRDefault="00E02A93" w:rsidP="00E02A93">
      <w:r>
        <w:t xml:space="preserve">Plan to continue to meet monthly through June. </w:t>
      </w:r>
      <w:r w:rsidR="007067FE">
        <w:t>We</w:t>
      </w:r>
      <w:r>
        <w:t xml:space="preserve"> will have a </w:t>
      </w:r>
      <w:r w:rsidR="00BA6689">
        <w:t xml:space="preserve">short </w:t>
      </w:r>
      <w:r>
        <w:t xml:space="preserve">meeting </w:t>
      </w:r>
      <w:r w:rsidR="00BA6689">
        <w:t xml:space="preserve">followed by </w:t>
      </w:r>
      <w:r>
        <w:t>project site visit</w:t>
      </w:r>
      <w:r w:rsidR="00BA6689">
        <w:t>s</w:t>
      </w:r>
      <w:r>
        <w:t xml:space="preserve"> in July or Aug</w:t>
      </w:r>
      <w:r w:rsidR="008B55A7">
        <w:t>ust, m</w:t>
      </w:r>
      <w:r w:rsidR="007067FE">
        <w:t>eetings September and</w:t>
      </w:r>
      <w:r>
        <w:t xml:space="preserve"> O</w:t>
      </w:r>
      <w:r w:rsidR="007067FE">
        <w:t>ctober</w:t>
      </w:r>
      <w:r w:rsidR="008B55A7">
        <w:t>,</w:t>
      </w:r>
      <w:r w:rsidR="007067FE">
        <w:t xml:space="preserve"> and one meeting November or </w:t>
      </w:r>
      <w:r>
        <w:t>December.</w:t>
      </w:r>
      <w:r w:rsidR="005B3DE7">
        <w:t xml:space="preserve"> The Technical workgroup will also meet between full Committee meetings. </w:t>
      </w:r>
    </w:p>
    <w:p w14:paraId="55CC652D" w14:textId="4906EF57" w:rsidR="00042E39" w:rsidRDefault="0019513D" w:rsidP="00A97DB4">
      <w:pPr>
        <w:pStyle w:val="Heading2"/>
      </w:pPr>
      <w:r w:rsidRPr="0019513D">
        <w:t>Technical Workgroup Report</w:t>
      </w:r>
    </w:p>
    <w:p w14:paraId="5CEE315E" w14:textId="31B1BF77" w:rsidR="00165318" w:rsidRDefault="0019513D" w:rsidP="00165318">
      <w:r>
        <w:t xml:space="preserve">The Technical Workgroup for WRIA 8 and WRIA 9 met jointly March 22 </w:t>
      </w:r>
      <w:r w:rsidRPr="002D697A">
        <w:t>by phone. Trish Rolfe reported to the Committee on that meeting. Stephanie will share meeting notes</w:t>
      </w:r>
      <w:r w:rsidR="003E7A85" w:rsidRPr="002D697A">
        <w:t xml:space="preserve"> by email</w:t>
      </w:r>
      <w:r w:rsidRPr="002D697A">
        <w:t xml:space="preserve">. </w:t>
      </w:r>
      <w:r w:rsidR="00165318" w:rsidRPr="002D697A">
        <w:t>Stephanie</w:t>
      </w:r>
      <w:r w:rsidR="00165318">
        <w:t xml:space="preserve"> will schedule the next technical workgroup call once the consultants are under contract. Will look into scheduling a standing technical workgroup meeting the week following Committee meetings. Let Stephanie know if you would like to get emails about future technical workgroup meetings.</w:t>
      </w:r>
    </w:p>
    <w:p w14:paraId="1B145D90" w14:textId="77777777" w:rsidR="001520EF" w:rsidRDefault="0019513D" w:rsidP="001520EF">
      <w:r>
        <w:t>Ecology staff met with GeoEngineers to review the scope of work and extend the deadlines from the initial work plan to ensure the consultant</w:t>
      </w:r>
      <w:r w:rsidR="001520EF">
        <w:t>s</w:t>
      </w:r>
      <w:r>
        <w:t xml:space="preserve"> ha</w:t>
      </w:r>
      <w:r w:rsidR="001520EF">
        <w:t>ve</w:t>
      </w:r>
      <w:r>
        <w:t xml:space="preserve"> time to gather input from the technical workgroup and full Committee. </w:t>
      </w:r>
    </w:p>
    <w:p w14:paraId="64C7CC21" w14:textId="3C414B2C" w:rsidR="007067FE" w:rsidRDefault="0019513D" w:rsidP="0019513D">
      <w:r>
        <w:t>The next</w:t>
      </w:r>
      <w:r w:rsidR="002D697A">
        <w:t xml:space="preserve"> technical workgroup</w:t>
      </w:r>
      <w:r>
        <w:t xml:space="preserve"> meeting will focus on subbasins and WRIA 8 and WRIA 9 will meet separately. Technical workgroup members are invited to develop a subbasin proposal to share with the workgroup prior to the next meeting. </w:t>
      </w:r>
    </w:p>
    <w:p w14:paraId="0D74F215" w14:textId="10515CB9" w:rsidR="007067FE" w:rsidRPr="00B0008B" w:rsidRDefault="00B0008B" w:rsidP="00B0008B">
      <w:pPr>
        <w:pStyle w:val="Heading2"/>
      </w:pPr>
      <w:r w:rsidRPr="00B0008B">
        <w:t>County Planning Overview</w:t>
      </w:r>
    </w:p>
    <w:p w14:paraId="0E1F5B9F" w14:textId="46717655" w:rsidR="007067FE" w:rsidRPr="005F4541" w:rsidRDefault="002D697A" w:rsidP="007067FE">
      <w:r>
        <w:t xml:space="preserve">Karen Wolf, King County’s Office of </w:t>
      </w:r>
      <w:r w:rsidR="00B0008B">
        <w:t xml:space="preserve">Performance Strategy and Budget, provided an overview of King County comprehensive </w:t>
      </w:r>
      <w:r w:rsidR="00B0008B" w:rsidRPr="005F4541">
        <w:t xml:space="preserve">planning. </w:t>
      </w:r>
      <w:r w:rsidR="008426F7" w:rsidRPr="005F4541">
        <w:t>The presentation is posted on the Committee website.</w:t>
      </w:r>
    </w:p>
    <w:p w14:paraId="67AE0BC3" w14:textId="6100B324" w:rsidR="00B0008B" w:rsidRPr="005F4541" w:rsidRDefault="008426F7" w:rsidP="007067FE">
      <w:r w:rsidRPr="005F4541">
        <w:t>Summary of the Committee discussion following the presentation:</w:t>
      </w:r>
    </w:p>
    <w:p w14:paraId="513BF062" w14:textId="77777777" w:rsidR="00193E8B" w:rsidRDefault="00193E8B" w:rsidP="00193E8B">
      <w:pPr>
        <w:pStyle w:val="ListParagraph"/>
        <w:numPr>
          <w:ilvl w:val="0"/>
          <w:numId w:val="19"/>
        </w:numPr>
      </w:pPr>
      <w:r w:rsidRPr="005F4541">
        <w:t>WA Office of Financial Management (OFM) gives counties the</w:t>
      </w:r>
      <w:r>
        <w:t xml:space="preserve"> future population projection with a high, medium and low growth scenario. The county takes that number to determine the </w:t>
      </w:r>
      <w:r>
        <w:lastRenderedPageBreak/>
        <w:t xml:space="preserve">expected increase in population and household size. Counties have growth projections through 2035. </w:t>
      </w:r>
    </w:p>
    <w:p w14:paraId="7D679F92" w14:textId="77777777" w:rsidR="005F3718" w:rsidRDefault="00193E8B" w:rsidP="005F3718">
      <w:pPr>
        <w:pStyle w:val="ListParagraph"/>
        <w:numPr>
          <w:ilvl w:val="0"/>
          <w:numId w:val="19"/>
        </w:numPr>
      </w:pPr>
      <w:r>
        <w:t xml:space="preserve">King County does not have a growth target for the rural area. Rural area growth is currently at about 2 percent. </w:t>
      </w:r>
      <w:r w:rsidR="00B61FCF">
        <w:t xml:space="preserve">King County uses a combination of regulations and incentives to protect </w:t>
      </w:r>
      <w:r w:rsidR="00C205EF">
        <w:t>ag</w:t>
      </w:r>
      <w:r w:rsidR="00B61FCF">
        <w:t xml:space="preserve"> and forest lands and direct growth to cities within </w:t>
      </w:r>
      <w:r w:rsidR="005F4541">
        <w:t xml:space="preserve">the </w:t>
      </w:r>
      <w:r w:rsidR="00B61FCF">
        <w:t xml:space="preserve">UGA. Forest lands have zoning of 1 unit per 80 acres. Most of the forest </w:t>
      </w:r>
      <w:r w:rsidR="00C205EF">
        <w:t xml:space="preserve">and ag </w:t>
      </w:r>
      <w:r w:rsidR="00B61FCF">
        <w:t xml:space="preserve">land is protected by </w:t>
      </w:r>
      <w:r w:rsidR="00C205EF">
        <w:t>easements (transfer of development rights [TDR]</w:t>
      </w:r>
      <w:r w:rsidR="00B61FCF">
        <w:t xml:space="preserve"> or purchase of </w:t>
      </w:r>
      <w:r w:rsidR="00C205EF">
        <w:t>development rights [PDR])</w:t>
      </w:r>
      <w:r w:rsidR="00B61FCF">
        <w:t xml:space="preserve">. </w:t>
      </w:r>
      <w:r w:rsidR="005F3718">
        <w:t>King County allows cluster development in the rural area.</w:t>
      </w:r>
    </w:p>
    <w:p w14:paraId="31B09FA9" w14:textId="4F77EC08" w:rsidR="005A386F" w:rsidRDefault="00B61FCF" w:rsidP="005F4541">
      <w:pPr>
        <w:pStyle w:val="ListParagraph"/>
        <w:numPr>
          <w:ilvl w:val="0"/>
          <w:numId w:val="19"/>
        </w:numPr>
      </w:pPr>
      <w:r>
        <w:t xml:space="preserve">King County is working to improve coordination between public health and permitting offices </w:t>
      </w:r>
      <w:r w:rsidR="000B04BE">
        <w:t xml:space="preserve">to strengthen enforcement of existing policies </w:t>
      </w:r>
      <w:r>
        <w:t xml:space="preserve">and close loopholes that allowed permit-exempt wells to go in </w:t>
      </w:r>
      <w:r w:rsidR="00C205EF">
        <w:t>against county</w:t>
      </w:r>
      <w:r>
        <w:t xml:space="preserve"> policies. The permitting office follows the</w:t>
      </w:r>
      <w:r w:rsidR="00C205EF">
        <w:t xml:space="preserve"> updated</w:t>
      </w:r>
      <w:r>
        <w:t xml:space="preserve"> </w:t>
      </w:r>
      <w:hyperlink r:id="rId15" w:history="1">
        <w:r w:rsidRPr="00B61FCF">
          <w:rPr>
            <w:rStyle w:val="Hyperlink"/>
          </w:rPr>
          <w:t>water service requirements</w:t>
        </w:r>
      </w:hyperlink>
      <w:r>
        <w:t xml:space="preserve"> to determine whether to allow an exempt well</w:t>
      </w:r>
      <w:r w:rsidR="00C205EF">
        <w:t xml:space="preserve"> in unincorporated King County</w:t>
      </w:r>
      <w:r>
        <w:t>. Will allow wells on an interim basis, with satellite management by Group A system and expectation to connect to water service provider when lines are extended.</w:t>
      </w:r>
      <w:r w:rsidR="005F4541">
        <w:t xml:space="preserve"> King County is also working to better define “timely” and “reasonable” standards related to requirements to connect to existing systems.</w:t>
      </w:r>
    </w:p>
    <w:p w14:paraId="780D5197" w14:textId="12E7CD20" w:rsidR="00C205EF" w:rsidRDefault="00C205EF" w:rsidP="00B61FCF">
      <w:pPr>
        <w:pStyle w:val="ListParagraph"/>
        <w:numPr>
          <w:ilvl w:val="0"/>
          <w:numId w:val="19"/>
        </w:numPr>
      </w:pPr>
      <w:r>
        <w:t>In WRIA 9 there is very little developable land in unincorporated King County</w:t>
      </w:r>
      <w:r w:rsidR="00BA6689">
        <w:t>.</w:t>
      </w:r>
    </w:p>
    <w:p w14:paraId="34C1E6A4" w14:textId="0271D81B" w:rsidR="005A386F" w:rsidRDefault="005A386F" w:rsidP="00B61FCF">
      <w:pPr>
        <w:pStyle w:val="ListParagraph"/>
        <w:numPr>
          <w:ilvl w:val="0"/>
          <w:numId w:val="19"/>
        </w:numPr>
      </w:pPr>
      <w:r>
        <w:t>King County plans to look at homes using wells for lawn watering</w:t>
      </w:r>
      <w:r w:rsidR="00BA6689">
        <w:t>.</w:t>
      </w:r>
    </w:p>
    <w:p w14:paraId="06851E8E" w14:textId="6EEBD5B9" w:rsidR="000B04BE" w:rsidRDefault="000B04BE" w:rsidP="00B61FCF">
      <w:pPr>
        <w:pStyle w:val="ListParagraph"/>
        <w:numPr>
          <w:ilvl w:val="0"/>
          <w:numId w:val="19"/>
        </w:numPr>
      </w:pPr>
      <w:r>
        <w:t>Sewers are considered an urban use and policy does not allow extension of sewer lines beyond the UGA. There are some exceptions related to public health and safety.</w:t>
      </w:r>
    </w:p>
    <w:p w14:paraId="68730786" w14:textId="0ABE9C9E" w:rsidR="005F4541" w:rsidRDefault="005F4541" w:rsidP="005F4541">
      <w:pPr>
        <w:pStyle w:val="ListParagraph"/>
        <w:numPr>
          <w:ilvl w:val="0"/>
          <w:numId w:val="19"/>
        </w:numPr>
      </w:pPr>
      <w:r>
        <w:t>The county is the purveyor of last resort for group B systems.</w:t>
      </w:r>
    </w:p>
    <w:p w14:paraId="1FE3233E" w14:textId="093B3655" w:rsidR="00B0008B" w:rsidRDefault="00B0008B" w:rsidP="00B0008B">
      <w:r>
        <w:t xml:space="preserve">Cities and water purveyors on the Committee </w:t>
      </w:r>
      <w:r w:rsidR="00C205EF">
        <w:t>were</w:t>
      </w:r>
      <w:r>
        <w:t xml:space="preserve"> invited to share information about policies related to permit-exempt wells. </w:t>
      </w:r>
    </w:p>
    <w:p w14:paraId="199BFAA7" w14:textId="56E7B193" w:rsidR="00B61FCF" w:rsidRDefault="00B61FCF" w:rsidP="00B61FCF">
      <w:pPr>
        <w:pStyle w:val="ListParagraph"/>
        <w:numPr>
          <w:ilvl w:val="0"/>
          <w:numId w:val="19"/>
        </w:numPr>
      </w:pPr>
      <w:r>
        <w:t>Covington Water reduces the connection charge to incentivize homes on wells to connect to water service</w:t>
      </w:r>
      <w:r w:rsidR="005F4541">
        <w:t>.</w:t>
      </w:r>
      <w:r w:rsidR="00EF5D97">
        <w:t xml:space="preserve"> Only one new well in Covington’s service area in past 4 years.</w:t>
      </w:r>
    </w:p>
    <w:p w14:paraId="521F5F46" w14:textId="74F6CAB3" w:rsidR="00B61FCF" w:rsidRDefault="005A386F" w:rsidP="00B61FCF">
      <w:pPr>
        <w:pStyle w:val="ListParagraph"/>
        <w:numPr>
          <w:ilvl w:val="0"/>
          <w:numId w:val="19"/>
        </w:numPr>
      </w:pPr>
      <w:r>
        <w:t xml:space="preserve">Tacoma Water serves Cumberland. </w:t>
      </w:r>
      <w:r w:rsidR="000B04BE">
        <w:t>Within the service area, they look at the cost to the utility to provide service and the number of homes expected in that area. The water service agreement allows a well until the water mains are extended.</w:t>
      </w:r>
    </w:p>
    <w:p w14:paraId="3CDE4C36" w14:textId="448FC4ED" w:rsidR="005F4AF5" w:rsidRDefault="005F4AF5" w:rsidP="000D3D0D">
      <w:pPr>
        <w:pStyle w:val="ListParagraph"/>
        <w:numPr>
          <w:ilvl w:val="0"/>
          <w:numId w:val="19"/>
        </w:numPr>
      </w:pPr>
      <w:r>
        <w:t>Auburn does not have a code to require homeowne</w:t>
      </w:r>
      <w:r w:rsidR="000D3D0D">
        <w:t>rs to hook up to water service. F</w:t>
      </w:r>
      <w:r>
        <w:t>or a single residential house if a water main is not located along the frontage of the property, the city would provide a certificate of water non-availability for the property owner’s use to submit to the County Health Department with their application for a permit-exempt well. There is no future connection agreement. For a single residential house if the water main is located along the frontage, the City would encoura</w:t>
      </w:r>
      <w:r w:rsidR="00170B45">
        <w:t>ge but cannot require per City c</w:t>
      </w:r>
      <w:r>
        <w:t>ode that the property connect to the municipal water system. The City would provide a certificate of water availability indicating the presence of the water main, but it would be up to the County Health Department to deny the permit-exempt well application and require connection to the municipal system. For short plats and plats: require extension of the municipal system to provide service (no permit-exempt wells allowed). Non-residential construction within 200 feet of municipal system requires extension of the municipal system to provide service (no permit-exempt wells allowed). Only one new permit-exempt well in the last 5 years.</w:t>
      </w:r>
    </w:p>
    <w:p w14:paraId="3B88B56E" w14:textId="6A9F7C13" w:rsidR="005F4AF5" w:rsidRDefault="00F4429F" w:rsidP="00C53ED5">
      <w:pPr>
        <w:pStyle w:val="ListParagraph"/>
        <w:numPr>
          <w:ilvl w:val="0"/>
          <w:numId w:val="19"/>
        </w:numPr>
      </w:pPr>
      <w:r>
        <w:t xml:space="preserve">Tukwila: </w:t>
      </w:r>
      <w:r w:rsidR="002D697A">
        <w:t>Does</w:t>
      </w:r>
      <w:r w:rsidRPr="00F4429F">
        <w:t xml:space="preserve"> not allow private wells to be drilled in </w:t>
      </w:r>
      <w:r w:rsidR="002D697A">
        <w:t>the city’s</w:t>
      </w:r>
      <w:r w:rsidRPr="00F4429F">
        <w:t xml:space="preserve"> service </w:t>
      </w:r>
      <w:r w:rsidR="002D697A">
        <w:t xml:space="preserve">area under any circumstance. Tukwila rep is not aware of any wells that </w:t>
      </w:r>
      <w:r w:rsidRPr="00F4429F">
        <w:t>currently exist in a functional capacity.</w:t>
      </w:r>
    </w:p>
    <w:p w14:paraId="19E0B8D7" w14:textId="14130F52" w:rsidR="007067FE" w:rsidRDefault="00B0008B" w:rsidP="00B0008B">
      <w:pPr>
        <w:pStyle w:val="Heading2"/>
      </w:pPr>
      <w:r w:rsidRPr="00B0008B">
        <w:lastRenderedPageBreak/>
        <w:t>King County Water Availability Study</w:t>
      </w:r>
    </w:p>
    <w:p w14:paraId="2F07F01A" w14:textId="74A01450" w:rsidR="000B04BE" w:rsidRPr="000B04BE" w:rsidRDefault="00B0008B" w:rsidP="000B04BE">
      <w:r w:rsidRPr="000B04BE">
        <w:t>Eric Ferguson from King County’s Water and Land Resources Division present</w:t>
      </w:r>
      <w:r w:rsidR="00922887" w:rsidRPr="000B04BE">
        <w:t>ed</w:t>
      </w:r>
      <w:r w:rsidRPr="000B04BE">
        <w:t xml:space="preserve"> on the </w:t>
      </w:r>
      <w:hyperlink r:id="rId16" w:history="1">
        <w:r w:rsidRPr="000B04BE">
          <w:rPr>
            <w:rStyle w:val="Hyperlink"/>
          </w:rPr>
          <w:t>Water Availability and Permitting study</w:t>
        </w:r>
      </w:hyperlink>
      <w:r w:rsidRPr="000B04BE">
        <w:t xml:space="preserve"> they completed at the end of 2018. </w:t>
      </w:r>
      <w:r w:rsidR="000B04BE" w:rsidRPr="00551467">
        <w:t>The presentation is posted on the Committee website.</w:t>
      </w:r>
    </w:p>
    <w:p w14:paraId="553CC2A8" w14:textId="7B7E0C8F" w:rsidR="000B04BE" w:rsidRDefault="000B04BE" w:rsidP="000B04BE">
      <w:r w:rsidRPr="00170B45">
        <w:t>Summary of the Committee discussion following the presentation:</w:t>
      </w:r>
    </w:p>
    <w:p w14:paraId="6B2E50B4" w14:textId="77777777" w:rsidR="004649CD" w:rsidRPr="00EA2BA5" w:rsidRDefault="004649CD" w:rsidP="004649CD">
      <w:pPr>
        <w:pStyle w:val="ListParagraph"/>
        <w:numPr>
          <w:ilvl w:val="0"/>
          <w:numId w:val="21"/>
        </w:numPr>
      </w:pPr>
      <w:r>
        <w:t>The assumptions reflect King County’s policy and code framework if perfectly implemented.</w:t>
      </w:r>
    </w:p>
    <w:p w14:paraId="2DB4D71E" w14:textId="4B83DE13" w:rsidR="000B04BE" w:rsidRDefault="000B04BE" w:rsidP="000B04BE">
      <w:pPr>
        <w:pStyle w:val="ListParagraph"/>
        <w:numPr>
          <w:ilvl w:val="0"/>
          <w:numId w:val="21"/>
        </w:numPr>
      </w:pPr>
      <w:r>
        <w:t xml:space="preserve">King County’s analysis estimates ~2100 developable parcels that would rely on </w:t>
      </w:r>
      <w:r w:rsidR="001D03AE">
        <w:t>water from permit-exempt wells</w:t>
      </w:r>
      <w:r>
        <w:t>, with about 550 of those parcels in WRIA 9. This number is based on the potential for development and is not a projection.</w:t>
      </w:r>
    </w:p>
    <w:p w14:paraId="54BB59A5" w14:textId="65C2F16A" w:rsidR="000B04BE" w:rsidRDefault="004649CD" w:rsidP="000B04BE">
      <w:pPr>
        <w:pStyle w:val="ListParagraph"/>
        <w:numPr>
          <w:ilvl w:val="0"/>
          <w:numId w:val="21"/>
        </w:numPr>
      </w:pPr>
      <w:r>
        <w:t xml:space="preserve">The study assumed no new wells within water service areas. </w:t>
      </w:r>
      <w:r w:rsidR="000B04BE">
        <w:t>Need to look at the capacity of water purveyors to expand into areas expected to have a lot of wells in the future</w:t>
      </w:r>
      <w:r>
        <w:t>.</w:t>
      </w:r>
    </w:p>
    <w:p w14:paraId="24C7BC13" w14:textId="4584A285" w:rsidR="000B04BE" w:rsidRDefault="00EA2BA5" w:rsidP="00EA2BA5">
      <w:pPr>
        <w:pStyle w:val="ListParagraph"/>
        <w:numPr>
          <w:ilvl w:val="0"/>
          <w:numId w:val="21"/>
        </w:numPr>
      </w:pPr>
      <w:r>
        <w:t>E</w:t>
      </w:r>
      <w:r w:rsidR="004649CD">
        <w:t xml:space="preserve">xcluded parcels within the 100 </w:t>
      </w:r>
      <w:r>
        <w:t>year flood plain based on WAC 173-160-171: “What are the requirements for the location of the well site and access to the well?” “(2) It shall be protected from a one hundred-year flood and from any surface or subsurface drainage capable of impairing the quality of the groundwater supply.”</w:t>
      </w:r>
      <w:r w:rsidR="004649CD">
        <w:t xml:space="preserve"> Howard Hansen dam is factored into the floodplain maps.</w:t>
      </w:r>
    </w:p>
    <w:p w14:paraId="2558E592" w14:textId="379C24BC" w:rsidR="00031F4B" w:rsidRDefault="00031F4B" w:rsidP="00031F4B">
      <w:pPr>
        <w:pStyle w:val="Heading2"/>
      </w:pPr>
      <w:r>
        <w:t>Public Comment</w:t>
      </w:r>
    </w:p>
    <w:p w14:paraId="5E6BE6DB" w14:textId="77777777" w:rsidR="00031F4B" w:rsidRDefault="00031F4B" w:rsidP="00031F4B">
      <w:r>
        <w:t>No public comments.</w:t>
      </w:r>
    </w:p>
    <w:p w14:paraId="2FCE3B13" w14:textId="77777777" w:rsidR="006D64D6" w:rsidRDefault="0099757E" w:rsidP="008C2A66">
      <w:pPr>
        <w:pStyle w:val="Heading2"/>
      </w:pPr>
      <w:r>
        <w:t>Action Items</w:t>
      </w:r>
    </w:p>
    <w:p w14:paraId="15BD16A8" w14:textId="77777777" w:rsidR="008C2A66" w:rsidRPr="008C2A66" w:rsidRDefault="008C2A66" w:rsidP="008C2A66">
      <w:pPr>
        <w:rPr>
          <w:b/>
        </w:rPr>
      </w:pPr>
      <w:r w:rsidRPr="008C2A66">
        <w:rPr>
          <w:b/>
        </w:rPr>
        <w:t>For the chair</w:t>
      </w:r>
      <w:r>
        <w:rPr>
          <w:b/>
        </w:rPr>
        <w:t>:</w:t>
      </w:r>
    </w:p>
    <w:p w14:paraId="121ADAD7" w14:textId="36A300F1" w:rsidR="008C2A66" w:rsidRDefault="008C2A66" w:rsidP="008C2A66">
      <w:pPr>
        <w:pStyle w:val="ListParagraph"/>
        <w:numPr>
          <w:ilvl w:val="0"/>
          <w:numId w:val="12"/>
        </w:numPr>
      </w:pPr>
      <w:r>
        <w:t xml:space="preserve">Post final </w:t>
      </w:r>
      <w:r w:rsidR="00C53743">
        <w:t>February</w:t>
      </w:r>
      <w:r>
        <w:t xml:space="preserve"> meeting summary and </w:t>
      </w:r>
      <w:r w:rsidR="00C53743">
        <w:t>March</w:t>
      </w:r>
      <w:r>
        <w:t xml:space="preserve"> meeting presentations and materials on the Committee website. </w:t>
      </w:r>
    </w:p>
    <w:p w14:paraId="6C758793" w14:textId="6693F01F" w:rsidR="00A54DF8" w:rsidRDefault="00C53743" w:rsidP="00C53743">
      <w:pPr>
        <w:pStyle w:val="ListParagraph"/>
        <w:numPr>
          <w:ilvl w:val="0"/>
          <w:numId w:val="12"/>
        </w:numPr>
      </w:pPr>
      <w:r>
        <w:t xml:space="preserve">Schedule next </w:t>
      </w:r>
      <w:r w:rsidR="00A54DF8">
        <w:t>technical workgroup call.</w:t>
      </w:r>
    </w:p>
    <w:p w14:paraId="3E6C9CF1" w14:textId="77777777" w:rsidR="008C2A66" w:rsidRPr="008C2A66" w:rsidRDefault="008C2A66" w:rsidP="008C2A66">
      <w:pPr>
        <w:rPr>
          <w:b/>
        </w:rPr>
      </w:pPr>
      <w:r w:rsidRPr="008C2A66">
        <w:rPr>
          <w:b/>
        </w:rPr>
        <w:t>For Committee members</w:t>
      </w:r>
      <w:r>
        <w:rPr>
          <w:b/>
        </w:rPr>
        <w:t>:</w:t>
      </w:r>
    </w:p>
    <w:p w14:paraId="7F5E06DB" w14:textId="554C85C4" w:rsidR="008C2A66" w:rsidRPr="00000930" w:rsidRDefault="008C2A66" w:rsidP="008C2A66">
      <w:pPr>
        <w:pStyle w:val="ListParagraph"/>
        <w:numPr>
          <w:ilvl w:val="0"/>
          <w:numId w:val="11"/>
        </w:numPr>
      </w:pPr>
      <w:r>
        <w:t xml:space="preserve">Review draft </w:t>
      </w:r>
      <w:r w:rsidR="00C53743">
        <w:t>March</w:t>
      </w:r>
      <w:r>
        <w:t xml:space="preserve"> meeting summary and s</w:t>
      </w:r>
      <w:r w:rsidR="00B53A8C">
        <w:t xml:space="preserve">end comments to </w:t>
      </w:r>
      <w:r w:rsidR="00B53A8C" w:rsidRPr="00000930">
        <w:t xml:space="preserve">Stephanie </w:t>
      </w:r>
      <w:r w:rsidRPr="00000930">
        <w:t xml:space="preserve">by </w:t>
      </w:r>
      <w:r w:rsidR="002D697A">
        <w:t>April 17.</w:t>
      </w:r>
    </w:p>
    <w:p w14:paraId="77D04EC3" w14:textId="79668F68" w:rsidR="00C53743" w:rsidRDefault="00C53743" w:rsidP="008C2A66">
      <w:pPr>
        <w:pStyle w:val="ListParagraph"/>
        <w:numPr>
          <w:ilvl w:val="0"/>
          <w:numId w:val="11"/>
        </w:numPr>
      </w:pPr>
      <w:r>
        <w:t xml:space="preserve">Review </w:t>
      </w:r>
      <w:hyperlink r:id="rId17" w:history="1">
        <w:r w:rsidRPr="00C53743">
          <w:rPr>
            <w:rStyle w:val="Hyperlink"/>
          </w:rPr>
          <w:t>Recommendations for Water Use Estimates</w:t>
        </w:r>
      </w:hyperlink>
      <w:r>
        <w:t>, under the Planning Resources tab in your binder and linked under General Information on the Committee website.</w:t>
      </w:r>
    </w:p>
    <w:p w14:paraId="4BE8C1AD" w14:textId="6C471215" w:rsidR="004300DB" w:rsidRDefault="004300DB" w:rsidP="008C2A66">
      <w:pPr>
        <w:pStyle w:val="ListParagraph"/>
        <w:numPr>
          <w:ilvl w:val="0"/>
          <w:numId w:val="11"/>
        </w:numPr>
      </w:pPr>
      <w:r w:rsidRPr="002071C7">
        <w:t>Watch WRIA 11</w:t>
      </w:r>
      <w:r w:rsidR="002071C7">
        <w:t xml:space="preserve"> lessons learned </w:t>
      </w:r>
      <w:hyperlink r:id="rId18" w:history="1">
        <w:r w:rsidR="002071C7" w:rsidRPr="002071C7">
          <w:rPr>
            <w:rStyle w:val="Hyperlink"/>
          </w:rPr>
          <w:t>webinar</w:t>
        </w:r>
      </w:hyperlink>
      <w:r w:rsidR="002071C7">
        <w:t xml:space="preserve"> (1 hour) and </w:t>
      </w:r>
      <w:hyperlink r:id="rId19" w:history="1">
        <w:r w:rsidR="002071C7" w:rsidRPr="002071C7">
          <w:rPr>
            <w:rStyle w:val="Hyperlink"/>
          </w:rPr>
          <w:t>presentation</w:t>
        </w:r>
      </w:hyperlink>
      <w:r w:rsidR="002071C7">
        <w:t xml:space="preserve"> (35 min)</w:t>
      </w:r>
      <w:r w:rsidR="002071C7" w:rsidRPr="002071C7">
        <w:t>.</w:t>
      </w:r>
    </w:p>
    <w:p w14:paraId="5CE5C73A" w14:textId="3E696606" w:rsidR="0095723D" w:rsidRDefault="0095723D" w:rsidP="0095723D">
      <w:pPr>
        <w:pStyle w:val="ListParagraph"/>
        <w:numPr>
          <w:ilvl w:val="0"/>
          <w:numId w:val="11"/>
        </w:numPr>
      </w:pPr>
      <w:r>
        <w:t xml:space="preserve">Send Stephanie a proposed subbasin </w:t>
      </w:r>
      <w:r w:rsidRPr="002071C7">
        <w:t>map to share with technical workgroup (optional).</w:t>
      </w:r>
    </w:p>
    <w:p w14:paraId="6C7BD9B5" w14:textId="02C84B43" w:rsidR="001C7370" w:rsidRPr="002071C7" w:rsidRDefault="001C7370" w:rsidP="001C7370">
      <w:pPr>
        <w:pStyle w:val="ListParagraph"/>
        <w:numPr>
          <w:ilvl w:val="0"/>
          <w:numId w:val="11"/>
        </w:numPr>
      </w:pPr>
      <w:r>
        <w:t>Remember to bring your binders to meetings.</w:t>
      </w:r>
    </w:p>
    <w:p w14:paraId="733A363E" w14:textId="7454CB39" w:rsidR="008C2A66" w:rsidRPr="002F1389" w:rsidRDefault="008C2A66" w:rsidP="002F1389">
      <w:pPr>
        <w:rPr>
          <w:b/>
        </w:rPr>
      </w:pPr>
      <w:r w:rsidRPr="002F1389">
        <w:rPr>
          <w:b/>
        </w:rPr>
        <w:t xml:space="preserve">For Next Meeting, </w:t>
      </w:r>
      <w:r w:rsidR="00C53743">
        <w:rPr>
          <w:b/>
        </w:rPr>
        <w:t>April 23</w:t>
      </w:r>
      <w:r w:rsidRPr="002F1389">
        <w:rPr>
          <w:b/>
        </w:rPr>
        <w:t>:</w:t>
      </w:r>
    </w:p>
    <w:p w14:paraId="7934F4D8" w14:textId="69519C02" w:rsidR="0095723D" w:rsidRPr="00F159E8" w:rsidRDefault="0095723D" w:rsidP="00D735C3">
      <w:pPr>
        <w:pStyle w:val="ListParagraph"/>
        <w:numPr>
          <w:ilvl w:val="0"/>
          <w:numId w:val="10"/>
        </w:numPr>
      </w:pPr>
      <w:r w:rsidRPr="00F159E8">
        <w:t>Different location: King County South Treatment Plant, Black River room</w:t>
      </w:r>
      <w:r w:rsidR="001D03AE">
        <w:t>.</w:t>
      </w:r>
    </w:p>
    <w:p w14:paraId="4D5F0C6F" w14:textId="62F8F202" w:rsidR="00202280" w:rsidRPr="00F159E8" w:rsidRDefault="00C53743" w:rsidP="00D735C3">
      <w:pPr>
        <w:pStyle w:val="ListParagraph"/>
        <w:numPr>
          <w:ilvl w:val="0"/>
          <w:numId w:val="10"/>
        </w:numPr>
      </w:pPr>
      <w:r w:rsidRPr="00F159E8">
        <w:t>Discussion on subbasins and population growth estimates</w:t>
      </w:r>
      <w:r w:rsidR="001D03AE">
        <w:t>.</w:t>
      </w:r>
    </w:p>
    <w:p w14:paraId="3BEE43E6" w14:textId="3BEE5CC3" w:rsidR="00B0008B" w:rsidRPr="00F159E8" w:rsidRDefault="00B0008B" w:rsidP="00D735C3">
      <w:pPr>
        <w:pStyle w:val="ListParagraph"/>
        <w:numPr>
          <w:ilvl w:val="0"/>
          <w:numId w:val="10"/>
        </w:numPr>
      </w:pPr>
      <w:r w:rsidRPr="00F159E8">
        <w:t>No major votes planned</w:t>
      </w:r>
      <w:r w:rsidR="001D03AE">
        <w:t>.</w:t>
      </w:r>
    </w:p>
    <w:sectPr w:rsidR="00B0008B" w:rsidRPr="00F159E8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071B1" w14:textId="77777777" w:rsidR="00814A6D" w:rsidRDefault="00814A6D" w:rsidP="003B0C30">
      <w:pPr>
        <w:spacing w:after="0" w:line="240" w:lineRule="auto"/>
      </w:pPr>
      <w:r>
        <w:separator/>
      </w:r>
    </w:p>
  </w:endnote>
  <w:endnote w:type="continuationSeparator" w:id="0">
    <w:p w14:paraId="19A445D0" w14:textId="77777777" w:rsidR="00814A6D" w:rsidRDefault="00814A6D" w:rsidP="003B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35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7CD450" w14:textId="18BBC7B9" w:rsidR="00D92E98" w:rsidRDefault="00FC5033" w:rsidP="00AD090C">
        <w:pPr>
          <w:pStyle w:val="Footer"/>
          <w:jc w:val="right"/>
        </w:pPr>
        <w:r>
          <w:t>Final</w:t>
        </w:r>
        <w:r w:rsidR="007571BC">
          <w:tab/>
        </w:r>
        <w:r w:rsidR="00BA0ADC">
          <w:t>4/2</w:t>
        </w:r>
        <w:r>
          <w:t>9</w:t>
        </w:r>
        <w:r w:rsidR="00D92E98">
          <w:t>/19</w:t>
        </w:r>
        <w:r w:rsidR="00D92E98">
          <w:tab/>
        </w:r>
        <w:r w:rsidR="00D92E98">
          <w:fldChar w:fldCharType="begin"/>
        </w:r>
        <w:r w:rsidR="00D92E98">
          <w:instrText xml:space="preserve"> PAGE   \* MERGEFORMAT </w:instrText>
        </w:r>
        <w:r w:rsidR="00D92E98">
          <w:fldChar w:fldCharType="separate"/>
        </w:r>
        <w:r w:rsidR="00A74343">
          <w:rPr>
            <w:noProof/>
          </w:rPr>
          <w:t>1</w:t>
        </w:r>
        <w:r w:rsidR="00D92E9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90E2C" w14:textId="77777777" w:rsidR="00814A6D" w:rsidRDefault="00814A6D" w:rsidP="003B0C30">
      <w:pPr>
        <w:spacing w:after="0" w:line="240" w:lineRule="auto"/>
      </w:pPr>
      <w:r>
        <w:separator/>
      </w:r>
    </w:p>
  </w:footnote>
  <w:footnote w:type="continuationSeparator" w:id="0">
    <w:p w14:paraId="33937E51" w14:textId="77777777" w:rsidR="00814A6D" w:rsidRDefault="00814A6D" w:rsidP="003B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B1452" w14:textId="6CD6D059" w:rsidR="00D92E98" w:rsidRPr="003B0C30" w:rsidRDefault="000A5787" w:rsidP="00532993">
    <w:pPr>
      <w:pStyle w:val="Header"/>
      <w:tabs>
        <w:tab w:val="clear" w:pos="4680"/>
        <w:tab w:val="clear" w:pos="9360"/>
      </w:tabs>
      <w:rPr>
        <w:b/>
      </w:rPr>
    </w:pPr>
    <w:r>
      <w:t>March 26</w:t>
    </w:r>
    <w:r w:rsidR="00D92E98">
      <w:t>, 2019</w:t>
    </w:r>
    <w:r w:rsidR="005A622F">
      <w:tab/>
    </w:r>
    <w:r w:rsidR="00532993">
      <w:tab/>
    </w:r>
    <w:r w:rsidR="00D92E98">
      <w:t xml:space="preserve">WRIA </w:t>
    </w:r>
    <w:r w:rsidR="00E02A93">
      <w:t>9</w:t>
    </w:r>
    <w:r w:rsidR="00D92E98">
      <w:t xml:space="preserve"> Watershed Restoration and Enhancement Committee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7260"/>
    <w:multiLevelType w:val="hybridMultilevel"/>
    <w:tmpl w:val="59964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FEE"/>
    <w:multiLevelType w:val="hybridMultilevel"/>
    <w:tmpl w:val="664854C4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058"/>
    <w:multiLevelType w:val="hybridMultilevel"/>
    <w:tmpl w:val="D99AACDA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97891"/>
    <w:multiLevelType w:val="hybridMultilevel"/>
    <w:tmpl w:val="F24CD84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CE3BAB"/>
    <w:multiLevelType w:val="hybridMultilevel"/>
    <w:tmpl w:val="BF4EB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6913CF"/>
    <w:multiLevelType w:val="hybridMultilevel"/>
    <w:tmpl w:val="660EB2BA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A0249"/>
    <w:multiLevelType w:val="hybridMultilevel"/>
    <w:tmpl w:val="91A6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E54F0"/>
    <w:multiLevelType w:val="hybridMultilevel"/>
    <w:tmpl w:val="96605F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981B52"/>
    <w:multiLevelType w:val="hybridMultilevel"/>
    <w:tmpl w:val="9B72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B2ECB"/>
    <w:multiLevelType w:val="hybridMultilevel"/>
    <w:tmpl w:val="A07C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F47A9"/>
    <w:multiLevelType w:val="hybridMultilevel"/>
    <w:tmpl w:val="DF66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052A"/>
    <w:multiLevelType w:val="hybridMultilevel"/>
    <w:tmpl w:val="87F67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61054"/>
    <w:multiLevelType w:val="hybridMultilevel"/>
    <w:tmpl w:val="368E5B7C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35121"/>
    <w:multiLevelType w:val="hybridMultilevel"/>
    <w:tmpl w:val="469EA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D4BD3"/>
    <w:multiLevelType w:val="hybridMultilevel"/>
    <w:tmpl w:val="19CC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21F29"/>
    <w:multiLevelType w:val="hybridMultilevel"/>
    <w:tmpl w:val="5818F174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102137"/>
    <w:multiLevelType w:val="hybridMultilevel"/>
    <w:tmpl w:val="ED124ED8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F2248"/>
    <w:multiLevelType w:val="hybridMultilevel"/>
    <w:tmpl w:val="DDD6EF88"/>
    <w:lvl w:ilvl="0" w:tplc="6C963E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C63AD"/>
    <w:multiLevelType w:val="hybridMultilevel"/>
    <w:tmpl w:val="49721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C0925"/>
    <w:multiLevelType w:val="hybridMultilevel"/>
    <w:tmpl w:val="24F63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D55C9"/>
    <w:multiLevelType w:val="hybridMultilevel"/>
    <w:tmpl w:val="94FA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6"/>
  </w:num>
  <w:num w:numId="5">
    <w:abstractNumId w:val="19"/>
  </w:num>
  <w:num w:numId="6">
    <w:abstractNumId w:val="2"/>
  </w:num>
  <w:num w:numId="7">
    <w:abstractNumId w:val="15"/>
  </w:num>
  <w:num w:numId="8">
    <w:abstractNumId w:val="1"/>
  </w:num>
  <w:num w:numId="9">
    <w:abstractNumId w:val="16"/>
  </w:num>
  <w:num w:numId="10">
    <w:abstractNumId w:val="12"/>
  </w:num>
  <w:num w:numId="11">
    <w:abstractNumId w:val="17"/>
  </w:num>
  <w:num w:numId="12">
    <w:abstractNumId w:val="5"/>
  </w:num>
  <w:num w:numId="13">
    <w:abstractNumId w:val="18"/>
  </w:num>
  <w:num w:numId="14">
    <w:abstractNumId w:val="0"/>
  </w:num>
  <w:num w:numId="15">
    <w:abstractNumId w:val="10"/>
  </w:num>
  <w:num w:numId="16">
    <w:abstractNumId w:val="13"/>
  </w:num>
  <w:num w:numId="17">
    <w:abstractNumId w:val="20"/>
  </w:num>
  <w:num w:numId="18">
    <w:abstractNumId w:val="7"/>
  </w:num>
  <w:num w:numId="19">
    <w:abstractNumId w:val="11"/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0"/>
    <w:rsid w:val="00000930"/>
    <w:rsid w:val="000050B5"/>
    <w:rsid w:val="00007B63"/>
    <w:rsid w:val="0001585C"/>
    <w:rsid w:val="00031F4B"/>
    <w:rsid w:val="00042E39"/>
    <w:rsid w:val="000444E2"/>
    <w:rsid w:val="0007708F"/>
    <w:rsid w:val="0008560C"/>
    <w:rsid w:val="000918F2"/>
    <w:rsid w:val="0009324B"/>
    <w:rsid w:val="000A05A9"/>
    <w:rsid w:val="000A5787"/>
    <w:rsid w:val="000A5A89"/>
    <w:rsid w:val="000B04BE"/>
    <w:rsid w:val="000B3C5B"/>
    <w:rsid w:val="000C3BD2"/>
    <w:rsid w:val="000D3D0D"/>
    <w:rsid w:val="000D5D5D"/>
    <w:rsid w:val="000D7BE2"/>
    <w:rsid w:val="000F2E2B"/>
    <w:rsid w:val="000F42C7"/>
    <w:rsid w:val="000F5B5E"/>
    <w:rsid w:val="000F7921"/>
    <w:rsid w:val="0011327B"/>
    <w:rsid w:val="00124055"/>
    <w:rsid w:val="001520EF"/>
    <w:rsid w:val="00152FA2"/>
    <w:rsid w:val="00165318"/>
    <w:rsid w:val="0016790B"/>
    <w:rsid w:val="00170B45"/>
    <w:rsid w:val="001837F7"/>
    <w:rsid w:val="001847C6"/>
    <w:rsid w:val="00193E8B"/>
    <w:rsid w:val="0019513D"/>
    <w:rsid w:val="00197C7E"/>
    <w:rsid w:val="001B0B45"/>
    <w:rsid w:val="001C7370"/>
    <w:rsid w:val="001D03AE"/>
    <w:rsid w:val="001F1C30"/>
    <w:rsid w:val="001F4F18"/>
    <w:rsid w:val="00202280"/>
    <w:rsid w:val="00202618"/>
    <w:rsid w:val="002071C7"/>
    <w:rsid w:val="00220B4E"/>
    <w:rsid w:val="0022275C"/>
    <w:rsid w:val="002303A7"/>
    <w:rsid w:val="00230C04"/>
    <w:rsid w:val="00233DE4"/>
    <w:rsid w:val="00233E0B"/>
    <w:rsid w:val="00233FE3"/>
    <w:rsid w:val="00250C81"/>
    <w:rsid w:val="00254CF9"/>
    <w:rsid w:val="002670BC"/>
    <w:rsid w:val="0027350F"/>
    <w:rsid w:val="002802C4"/>
    <w:rsid w:val="002921E1"/>
    <w:rsid w:val="002957E5"/>
    <w:rsid w:val="00296437"/>
    <w:rsid w:val="002A153D"/>
    <w:rsid w:val="002C1FCA"/>
    <w:rsid w:val="002D0CCA"/>
    <w:rsid w:val="002D5138"/>
    <w:rsid w:val="002D697A"/>
    <w:rsid w:val="002E06E5"/>
    <w:rsid w:val="002F1389"/>
    <w:rsid w:val="002F1891"/>
    <w:rsid w:val="00303602"/>
    <w:rsid w:val="00317A93"/>
    <w:rsid w:val="00323DCA"/>
    <w:rsid w:val="00324E89"/>
    <w:rsid w:val="003259F7"/>
    <w:rsid w:val="00333A27"/>
    <w:rsid w:val="00333D02"/>
    <w:rsid w:val="003378AE"/>
    <w:rsid w:val="003421FD"/>
    <w:rsid w:val="00372908"/>
    <w:rsid w:val="00372AF2"/>
    <w:rsid w:val="00375D9E"/>
    <w:rsid w:val="00375FD5"/>
    <w:rsid w:val="00381E8D"/>
    <w:rsid w:val="00396415"/>
    <w:rsid w:val="003A4A34"/>
    <w:rsid w:val="003A6D0A"/>
    <w:rsid w:val="003B0C30"/>
    <w:rsid w:val="003C4266"/>
    <w:rsid w:val="003C6CE1"/>
    <w:rsid w:val="003C76F5"/>
    <w:rsid w:val="003D4EFE"/>
    <w:rsid w:val="003E4933"/>
    <w:rsid w:val="003E7A85"/>
    <w:rsid w:val="00416B4C"/>
    <w:rsid w:val="004300DB"/>
    <w:rsid w:val="0045510B"/>
    <w:rsid w:val="004649CD"/>
    <w:rsid w:val="004754A0"/>
    <w:rsid w:val="0048226A"/>
    <w:rsid w:val="004D21D6"/>
    <w:rsid w:val="004D37D7"/>
    <w:rsid w:val="004D7153"/>
    <w:rsid w:val="004E01F2"/>
    <w:rsid w:val="004F48A2"/>
    <w:rsid w:val="0050457D"/>
    <w:rsid w:val="00507474"/>
    <w:rsid w:val="005229A2"/>
    <w:rsid w:val="0053195A"/>
    <w:rsid w:val="00531AB9"/>
    <w:rsid w:val="00532993"/>
    <w:rsid w:val="00544046"/>
    <w:rsid w:val="005477A2"/>
    <w:rsid w:val="00547D9C"/>
    <w:rsid w:val="00551174"/>
    <w:rsid w:val="00551467"/>
    <w:rsid w:val="00551D25"/>
    <w:rsid w:val="00564FD8"/>
    <w:rsid w:val="00573498"/>
    <w:rsid w:val="00573B17"/>
    <w:rsid w:val="00575611"/>
    <w:rsid w:val="00585C51"/>
    <w:rsid w:val="00591635"/>
    <w:rsid w:val="005A2DBF"/>
    <w:rsid w:val="005A386F"/>
    <w:rsid w:val="005A622F"/>
    <w:rsid w:val="005B3DE7"/>
    <w:rsid w:val="005D3E70"/>
    <w:rsid w:val="005D6F21"/>
    <w:rsid w:val="005E29FC"/>
    <w:rsid w:val="005F3718"/>
    <w:rsid w:val="005F4010"/>
    <w:rsid w:val="005F4541"/>
    <w:rsid w:val="005F4AF5"/>
    <w:rsid w:val="00600A82"/>
    <w:rsid w:val="006121E5"/>
    <w:rsid w:val="00612FB0"/>
    <w:rsid w:val="006142DA"/>
    <w:rsid w:val="00633837"/>
    <w:rsid w:val="00644CA6"/>
    <w:rsid w:val="0065526D"/>
    <w:rsid w:val="0066428D"/>
    <w:rsid w:val="00677BEA"/>
    <w:rsid w:val="00683918"/>
    <w:rsid w:val="0068724E"/>
    <w:rsid w:val="006B49C8"/>
    <w:rsid w:val="006C6CA8"/>
    <w:rsid w:val="006D2025"/>
    <w:rsid w:val="006D64D6"/>
    <w:rsid w:val="006D6592"/>
    <w:rsid w:val="006E773C"/>
    <w:rsid w:val="006F2358"/>
    <w:rsid w:val="00704DE6"/>
    <w:rsid w:val="007067FE"/>
    <w:rsid w:val="007123DB"/>
    <w:rsid w:val="00726A88"/>
    <w:rsid w:val="007316FE"/>
    <w:rsid w:val="00733E63"/>
    <w:rsid w:val="0074151B"/>
    <w:rsid w:val="00752FA3"/>
    <w:rsid w:val="00755F9F"/>
    <w:rsid w:val="0075636A"/>
    <w:rsid w:val="007571BC"/>
    <w:rsid w:val="00761B6E"/>
    <w:rsid w:val="007B0297"/>
    <w:rsid w:val="007B78A0"/>
    <w:rsid w:val="007C4233"/>
    <w:rsid w:val="007C772C"/>
    <w:rsid w:val="007D7363"/>
    <w:rsid w:val="007D7D73"/>
    <w:rsid w:val="007E1000"/>
    <w:rsid w:val="007F4A5D"/>
    <w:rsid w:val="00806D99"/>
    <w:rsid w:val="00814A6D"/>
    <w:rsid w:val="008424EF"/>
    <w:rsid w:val="008426F7"/>
    <w:rsid w:val="00843703"/>
    <w:rsid w:val="008516C9"/>
    <w:rsid w:val="008604A7"/>
    <w:rsid w:val="00874747"/>
    <w:rsid w:val="00892FFA"/>
    <w:rsid w:val="00893818"/>
    <w:rsid w:val="008947D7"/>
    <w:rsid w:val="00894AAE"/>
    <w:rsid w:val="008A2E9F"/>
    <w:rsid w:val="008A5352"/>
    <w:rsid w:val="008B55A7"/>
    <w:rsid w:val="008C1F41"/>
    <w:rsid w:val="008C2A66"/>
    <w:rsid w:val="008C6893"/>
    <w:rsid w:val="008E0F64"/>
    <w:rsid w:val="00906D6B"/>
    <w:rsid w:val="00910629"/>
    <w:rsid w:val="009207E2"/>
    <w:rsid w:val="00920BF0"/>
    <w:rsid w:val="00922887"/>
    <w:rsid w:val="00924401"/>
    <w:rsid w:val="009277E0"/>
    <w:rsid w:val="009505AD"/>
    <w:rsid w:val="00955F6C"/>
    <w:rsid w:val="0095723D"/>
    <w:rsid w:val="00957AD1"/>
    <w:rsid w:val="00964D17"/>
    <w:rsid w:val="00971BA0"/>
    <w:rsid w:val="00972EA6"/>
    <w:rsid w:val="00973212"/>
    <w:rsid w:val="00981704"/>
    <w:rsid w:val="0099757E"/>
    <w:rsid w:val="009B0D90"/>
    <w:rsid w:val="009D4C6F"/>
    <w:rsid w:val="009D4EE2"/>
    <w:rsid w:val="009D7C76"/>
    <w:rsid w:val="009E21A2"/>
    <w:rsid w:val="009E77E0"/>
    <w:rsid w:val="00A00AA6"/>
    <w:rsid w:val="00A15245"/>
    <w:rsid w:val="00A1576A"/>
    <w:rsid w:val="00A21A07"/>
    <w:rsid w:val="00A440B8"/>
    <w:rsid w:val="00A52A06"/>
    <w:rsid w:val="00A54DF8"/>
    <w:rsid w:val="00A55D0A"/>
    <w:rsid w:val="00A60853"/>
    <w:rsid w:val="00A65747"/>
    <w:rsid w:val="00A73DF2"/>
    <w:rsid w:val="00A74343"/>
    <w:rsid w:val="00A77535"/>
    <w:rsid w:val="00A8095D"/>
    <w:rsid w:val="00A924E7"/>
    <w:rsid w:val="00A92B5A"/>
    <w:rsid w:val="00A97DB4"/>
    <w:rsid w:val="00AB16F2"/>
    <w:rsid w:val="00AD090C"/>
    <w:rsid w:val="00AD61A1"/>
    <w:rsid w:val="00AF6F5E"/>
    <w:rsid w:val="00B0008B"/>
    <w:rsid w:val="00B07BD8"/>
    <w:rsid w:val="00B33E4D"/>
    <w:rsid w:val="00B34B96"/>
    <w:rsid w:val="00B50CDE"/>
    <w:rsid w:val="00B53A8C"/>
    <w:rsid w:val="00B61FCF"/>
    <w:rsid w:val="00B840F4"/>
    <w:rsid w:val="00BA0ADC"/>
    <w:rsid w:val="00BA6689"/>
    <w:rsid w:val="00BC246D"/>
    <w:rsid w:val="00BC48F7"/>
    <w:rsid w:val="00BE0BFF"/>
    <w:rsid w:val="00BE7CD2"/>
    <w:rsid w:val="00BF331F"/>
    <w:rsid w:val="00BF5911"/>
    <w:rsid w:val="00C04C8D"/>
    <w:rsid w:val="00C11980"/>
    <w:rsid w:val="00C17501"/>
    <w:rsid w:val="00C205EF"/>
    <w:rsid w:val="00C30133"/>
    <w:rsid w:val="00C327FF"/>
    <w:rsid w:val="00C3789A"/>
    <w:rsid w:val="00C53743"/>
    <w:rsid w:val="00C57A1A"/>
    <w:rsid w:val="00C60BD9"/>
    <w:rsid w:val="00C72714"/>
    <w:rsid w:val="00C72788"/>
    <w:rsid w:val="00C746DB"/>
    <w:rsid w:val="00C8186B"/>
    <w:rsid w:val="00C83D61"/>
    <w:rsid w:val="00C91520"/>
    <w:rsid w:val="00CA2920"/>
    <w:rsid w:val="00CA69D3"/>
    <w:rsid w:val="00CA71C8"/>
    <w:rsid w:val="00CC0828"/>
    <w:rsid w:val="00CC0924"/>
    <w:rsid w:val="00CE036C"/>
    <w:rsid w:val="00CE5434"/>
    <w:rsid w:val="00CE5511"/>
    <w:rsid w:val="00D15C3A"/>
    <w:rsid w:val="00D66D52"/>
    <w:rsid w:val="00D70953"/>
    <w:rsid w:val="00D735C3"/>
    <w:rsid w:val="00D843C8"/>
    <w:rsid w:val="00D92E98"/>
    <w:rsid w:val="00D96358"/>
    <w:rsid w:val="00DB13FC"/>
    <w:rsid w:val="00DB25F7"/>
    <w:rsid w:val="00DD1C8B"/>
    <w:rsid w:val="00E02A93"/>
    <w:rsid w:val="00E0472C"/>
    <w:rsid w:val="00E15656"/>
    <w:rsid w:val="00E21CC0"/>
    <w:rsid w:val="00E44C18"/>
    <w:rsid w:val="00E46D91"/>
    <w:rsid w:val="00E54BE0"/>
    <w:rsid w:val="00E6080E"/>
    <w:rsid w:val="00E625F0"/>
    <w:rsid w:val="00E67436"/>
    <w:rsid w:val="00E728E5"/>
    <w:rsid w:val="00E8420A"/>
    <w:rsid w:val="00E93483"/>
    <w:rsid w:val="00EA2BA5"/>
    <w:rsid w:val="00EB12DE"/>
    <w:rsid w:val="00EB2585"/>
    <w:rsid w:val="00ED6517"/>
    <w:rsid w:val="00ED7E4D"/>
    <w:rsid w:val="00EF5D97"/>
    <w:rsid w:val="00F11C7B"/>
    <w:rsid w:val="00F159E8"/>
    <w:rsid w:val="00F26397"/>
    <w:rsid w:val="00F37F81"/>
    <w:rsid w:val="00F4429F"/>
    <w:rsid w:val="00F50725"/>
    <w:rsid w:val="00F70637"/>
    <w:rsid w:val="00F73669"/>
    <w:rsid w:val="00F86756"/>
    <w:rsid w:val="00F92733"/>
    <w:rsid w:val="00FB2647"/>
    <w:rsid w:val="00FB5E1A"/>
    <w:rsid w:val="00FB5FEB"/>
    <w:rsid w:val="00FC357A"/>
    <w:rsid w:val="00FC5033"/>
    <w:rsid w:val="00FD023F"/>
    <w:rsid w:val="00FF392A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58CE"/>
  <w15:chartTrackingRefBased/>
  <w15:docId w15:val="{A4DFFF69-FEDC-44CE-BD72-10480864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993"/>
    <w:pPr>
      <w:keepNext/>
      <w:keepLines/>
      <w:spacing w:after="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532993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01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30"/>
  </w:style>
  <w:style w:type="paragraph" w:styleId="Footer">
    <w:name w:val="footer"/>
    <w:basedOn w:val="Normal"/>
    <w:link w:val="FooterChar"/>
    <w:uiPriority w:val="99"/>
    <w:unhideWhenUsed/>
    <w:rsid w:val="003B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30"/>
  </w:style>
  <w:style w:type="character" w:customStyle="1" w:styleId="Heading2Char">
    <w:name w:val="Heading 2 Char"/>
    <w:basedOn w:val="DefaultParagraphFont"/>
    <w:link w:val="Heading2"/>
    <w:uiPriority w:val="9"/>
    <w:rsid w:val="003B0C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B0C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0C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3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329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75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6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3299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95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4E01F2"/>
    <w:rPr>
      <w:i/>
      <w:iCs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4E01F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75F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cology.wa.gov/Water-Shorelines/Water-supply/Streamflow-restoration/Streamflow-restoration-planning" TargetMode="External"/><Relationship Id="rId18" Type="http://schemas.openxmlformats.org/officeDocument/2006/relationships/hyperlink" Target="https://fortress.wa.gov/ecy/wrdocs/WaterRights/wrwebpdf/wrec/LessonsLearnedPresentation.mp4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fortress.wa.gov/ecy/wrdocs/WaterRights/wrwebpdf/wrec/LessonsLearnedPresentation.mp4" TargetMode="External"/><Relationship Id="rId17" Type="http://schemas.openxmlformats.org/officeDocument/2006/relationships/hyperlink" Target="https://fortress.wa.gov/ecy/publications/SummaryPages/1811007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kcclegisearch.kingcounty.gov/LegislationDetail.aspx?ID=3823498&amp;GUID=2B07BB69-BB8A-4E0C-8A8D-C1C36D5CDB79&amp;Options=Advanced&amp;Search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zview.wa.gov/site/alias__1962/37322/watershed_restoration_and_enhancement_-_wria_9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kingcounty.gov/~/media/depts/permitting-environmental-review/dper/documents/forms/Water-Requirements.ashx?la=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zview.wa.gov/site/alias__1962/37322/watershed_restoration_and_enhancement_-_wria_9.aspx" TargetMode="External"/><Relationship Id="rId19" Type="http://schemas.openxmlformats.org/officeDocument/2006/relationships/hyperlink" Target="https://www.youtube.com/watch?v=ILsbOVi6x4U&amp;feature=youtu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youtube.com/watch?v=ILsbOVi6x4U&amp;feature=youtu.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32297254D52448953820B9E57E305" ma:contentTypeVersion="6" ma:contentTypeDescription="Create a new document." ma:contentTypeScope="" ma:versionID="a9c70921f168db99d65702cf1153dfca">
  <xsd:schema xmlns:xsd="http://www.w3.org/2001/XMLSchema" xmlns:xs="http://www.w3.org/2001/XMLSchema" xmlns:p="http://schemas.microsoft.com/office/2006/metadata/properties" xmlns:ns2="fa9a4940-7a8b-4399-b0b9-597dee2fdc40" xmlns:ns3="79fe015f-d5a9-4081-8a73-b52e74bb0737" targetNamespace="http://schemas.microsoft.com/office/2006/metadata/properties" ma:root="true" ma:fieldsID="6528eb9a5a7b7fc9c18a30affcd12280" ns2:_="" ns3:_="">
    <xsd:import namespace="fa9a4940-7a8b-4399-b0b9-597dee2fdc40"/>
    <xsd:import namespace="79fe015f-d5a9-4081-8a73-b52e74bb07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qmds" minOccurs="0"/>
                <xsd:element ref="ns3:_x0065_z83" minOccurs="0"/>
                <xsd:element ref="ns3:_x0061_hb9" minOccurs="0"/>
                <xsd:element ref="ns3:qryy" minOccurs="0"/>
                <xsd:element ref="ns3:xy0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e015f-d5a9-4081-8a73-b52e74bb0737" elementFormDefault="qualified">
    <xsd:import namespace="http://schemas.microsoft.com/office/2006/documentManagement/types"/>
    <xsd:import namespace="http://schemas.microsoft.com/office/infopath/2007/PartnerControls"/>
    <xsd:element name="qmds" ma:index="9" nillable="true" ma:displayName="Person or Group" ma:list="UserInfo" ma:internalName="qmd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65_z83" ma:index="10" nillable="true" ma:displayName="Category" ma:internalName="_x0065_z83">
      <xsd:simpleType>
        <xsd:restriction base="dms:Text">
          <xsd:maxLength value="255"/>
        </xsd:restriction>
      </xsd:simpleType>
    </xsd:element>
    <xsd:element name="_x0061_hb9" ma:index="11" nillable="true" ma:displayName="Year" ma:internalName="_x0061_hb9">
      <xsd:simpleType>
        <xsd:restriction base="dms:DateTime"/>
      </xsd:simpleType>
    </xsd:element>
    <xsd:element name="qryy" ma:index="12" nillable="true" ma:displayName="Month and Year" ma:internalName="qryy">
      <xsd:simpleType>
        <xsd:restriction base="dms:Text"/>
      </xsd:simpleType>
    </xsd:element>
    <xsd:element name="xy0b" ma:index="13" nillable="true" ma:displayName="Date and Time" ma:internalName="xy0b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5_z83 xmlns="79fe015f-d5a9-4081-8a73-b52e74bb0737">WRIA 09</_x0065_z83>
    <_x0061_hb9 xmlns="79fe015f-d5a9-4081-8a73-b52e74bb0737" xsi:nil="true"/>
    <xy0b xmlns="79fe015f-d5a9-4081-8a73-b52e74bb0737" xsi:nil="true"/>
    <qmds xmlns="79fe015f-d5a9-4081-8a73-b52e74bb0737">
      <UserInfo>
        <DisplayName/>
        <AccountId xsi:nil="true"/>
        <AccountType/>
      </UserInfo>
    </qmds>
    <qryy xmlns="79fe015f-d5a9-4081-8a73-b52e74bb0737">March 2019</qry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0BE30A-D785-4D58-80C8-B15A202CC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79fe015f-d5a9-4081-8a73-b52e74bb0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E40832-993B-4B9E-BB14-FA70FB8B5D13}">
  <ds:schemaRefs>
    <ds:schemaRef ds:uri="http://schemas.microsoft.com/office/infopath/2007/PartnerControls"/>
    <ds:schemaRef ds:uri="79fe015f-d5a9-4081-8a73-b52e74bb0737"/>
    <ds:schemaRef ds:uri="http://purl.org/dc/terms/"/>
    <ds:schemaRef ds:uri="http://schemas.openxmlformats.org/package/2006/metadata/core-properties"/>
    <ds:schemaRef ds:uri="http://purl.org/dc/dcmitype/"/>
    <ds:schemaRef ds:uri="fa9a4940-7a8b-4399-b0b9-597dee2fdc40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F538B5-8210-43EF-8814-8C753348E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Potts, Stephanie (ECY)</dc:creator>
  <cp:keywords/>
  <dc:description/>
  <cp:lastModifiedBy>Medcalf, RiAnne (ECY)</cp:lastModifiedBy>
  <cp:revision>2</cp:revision>
  <dcterms:created xsi:type="dcterms:W3CDTF">2019-05-06T16:31:00Z</dcterms:created>
  <dcterms:modified xsi:type="dcterms:W3CDTF">2019-05-06T16:31:00Z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0x01010059632297254D52448953820B9E57E305</vt:lpwstr>
  </property>
</Properties>
</file>