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6D" w:rsidRDefault="00A7726D" w:rsidP="00A7726D">
      <w:pPr>
        <w:pStyle w:val="Titlestyle"/>
        <w:rPr>
          <w:sz w:val="36"/>
          <w:szCs w:val="28"/>
        </w:rPr>
      </w:pPr>
      <w:r w:rsidRPr="00042625">
        <w:rPr>
          <w:noProof/>
          <w:color w:val="FF0000"/>
          <w:sz w:val="36"/>
          <w:szCs w:val="28"/>
        </w:rPr>
        <w:drawing>
          <wp:anchor distT="0" distB="0" distL="114300" distR="114300" simplePos="0" relativeHeight="251659264" behindDoc="0" locked="0" layoutInCell="1" allowOverlap="1" wp14:anchorId="1ADBCF33" wp14:editId="7DA8A5C0">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Pr>
          <w:sz w:val="36"/>
          <w:szCs w:val="28"/>
        </w:rPr>
        <w:t>Discussion Guide</w:t>
      </w:r>
    </w:p>
    <w:p w:rsidR="00A7726D" w:rsidRDefault="00A7726D" w:rsidP="00A7726D">
      <w:pPr>
        <w:pStyle w:val="Titlestyle"/>
        <w:rPr>
          <w:b/>
          <w:sz w:val="36"/>
          <w:szCs w:val="28"/>
        </w:rPr>
      </w:pPr>
      <w:r>
        <w:rPr>
          <w:b/>
          <w:sz w:val="36"/>
          <w:szCs w:val="28"/>
        </w:rPr>
        <w:t>Growth Projections</w:t>
      </w:r>
    </w:p>
    <w:p w:rsidR="00A7726D" w:rsidRPr="004255C0" w:rsidRDefault="00A7726D" w:rsidP="00A7726D">
      <w:pPr>
        <w:pStyle w:val="Titlestyle"/>
        <w:rPr>
          <w:b/>
          <w:sz w:val="36"/>
          <w:szCs w:val="28"/>
        </w:rPr>
      </w:pPr>
    </w:p>
    <w:p w:rsidR="00A7726D" w:rsidRPr="009E4424" w:rsidRDefault="00A7726D" w:rsidP="00A7726D">
      <w:pPr>
        <w:pStyle w:val="Sub-titlestyle"/>
        <w:rPr>
          <w:b/>
          <w:color w:val="44688F"/>
        </w:rPr>
      </w:pPr>
      <w:r>
        <w:rPr>
          <w:b/>
          <w:color w:val="44688F"/>
        </w:rPr>
        <w:t>WRIA 1</w:t>
      </w:r>
      <w:r>
        <w:rPr>
          <w:b/>
          <w:color w:val="44688F"/>
        </w:rPr>
        <w:t>0</w:t>
      </w:r>
      <w:r>
        <w:rPr>
          <w:b/>
          <w:color w:val="44688F"/>
        </w:rPr>
        <w:t xml:space="preserve"> </w:t>
      </w:r>
      <w:r w:rsidRPr="009E4424">
        <w:rPr>
          <w:b/>
          <w:color w:val="44688F"/>
        </w:rPr>
        <w:t>Watershed Restoration and Enhancement</w:t>
      </w:r>
    </w:p>
    <w:p w:rsidR="00A7726D" w:rsidRPr="009E4424" w:rsidRDefault="00A7726D" w:rsidP="00A7726D">
      <w:pPr>
        <w:pStyle w:val="Sub-titlestyle"/>
        <w:rPr>
          <w:b/>
          <w:color w:val="44688F"/>
        </w:rPr>
      </w:pPr>
      <w:r>
        <w:rPr>
          <w:b/>
          <w:color w:val="44688F"/>
        </w:rPr>
        <w:t>Committee M</w:t>
      </w:r>
      <w:r w:rsidRPr="009E4424">
        <w:rPr>
          <w:b/>
          <w:color w:val="44688F"/>
        </w:rPr>
        <w:t>eeting</w:t>
      </w:r>
    </w:p>
    <w:p w:rsidR="00A7726D" w:rsidRPr="009E4424" w:rsidRDefault="00A7726D" w:rsidP="00A7726D">
      <w:pPr>
        <w:pStyle w:val="Sub-titlestyle"/>
        <w:rPr>
          <w:color w:val="44688F"/>
        </w:rPr>
      </w:pPr>
      <w:r>
        <w:rPr>
          <w:color w:val="44688F"/>
        </w:rPr>
        <w:t xml:space="preserve">May </w:t>
      </w:r>
      <w:r>
        <w:rPr>
          <w:color w:val="44688F"/>
        </w:rPr>
        <w:t>1</w:t>
      </w:r>
      <w:r w:rsidRPr="009E4424">
        <w:rPr>
          <w:color w:val="44688F"/>
        </w:rPr>
        <w:t xml:space="preserve">, 2019 </w:t>
      </w:r>
    </w:p>
    <w:p w:rsidR="00A7726D" w:rsidRDefault="00A7726D" w:rsidP="00A7726D">
      <w:pPr>
        <w:pStyle w:val="Heading1"/>
        <w:rPr>
          <w:sz w:val="24"/>
        </w:rPr>
      </w:pPr>
      <w:r>
        <w:rPr>
          <w:sz w:val="24"/>
        </w:rPr>
        <w:t>Purpose of Discussion</w:t>
      </w:r>
    </w:p>
    <w:p w:rsidR="00A7726D" w:rsidRPr="00A7726D" w:rsidRDefault="00A7726D" w:rsidP="00A7726D">
      <w:r>
        <w:t>The purpose of the initial discussion is to educate the Committee on how growth projections will be used in this planning process, review possible methodologies, and discuss what direction the committee would like to give to the technical staff and consultants on how to proceed.</w:t>
      </w:r>
    </w:p>
    <w:p w:rsidR="00A7726D" w:rsidRDefault="00A7726D" w:rsidP="00A7726D">
      <w:pPr>
        <w:pStyle w:val="Heading1"/>
        <w:rPr>
          <w:sz w:val="24"/>
        </w:rPr>
      </w:pPr>
      <w:r w:rsidRPr="004F6617">
        <w:rPr>
          <w:sz w:val="24"/>
        </w:rPr>
        <w:t>Background</w:t>
      </w:r>
      <w:r>
        <w:rPr>
          <w:sz w:val="24"/>
        </w:rPr>
        <w:t xml:space="preserve"> and Context</w:t>
      </w:r>
    </w:p>
    <w:p w:rsidR="00A7726D" w:rsidRDefault="00A7726D" w:rsidP="00A7726D">
      <w:pPr>
        <w:pStyle w:val="Heading2"/>
      </w:pPr>
      <w:r>
        <w:t>Why we need growth projections:</w:t>
      </w:r>
    </w:p>
    <w:p w:rsidR="00A7726D" w:rsidRDefault="00A7726D" w:rsidP="00A7726D">
      <w:r w:rsidRPr="00AC3A3A">
        <w:t xml:space="preserve">RCW </w:t>
      </w:r>
      <w:r>
        <w:t>90.94.030(3) says plans must</w:t>
      </w:r>
      <w:r w:rsidRPr="00AC3A3A">
        <w:t xml:space="preserve"> include actions to offset new consumptive use impacts</w:t>
      </w:r>
      <w:r>
        <w:t xml:space="preserve"> associated with permit-exempt domestic water use (emphasis added): </w:t>
      </w:r>
    </w:p>
    <w:p w:rsidR="00A7726D" w:rsidRPr="000F0FAA" w:rsidRDefault="00A7726D" w:rsidP="00A7726D">
      <w:pPr>
        <w:ind w:left="720"/>
        <w:rPr>
          <w:i/>
        </w:rPr>
      </w:pPr>
      <w:r w:rsidRPr="00BF73B8">
        <w:rPr>
          <w:i/>
        </w:rPr>
        <w:t>(c</w:t>
      </w:r>
      <w:r w:rsidRPr="000F0FAA">
        <w:rPr>
          <w:i/>
        </w:rPr>
        <w:t xml:space="preserve">) Prior to adoption of the watershed restoration and enhancement plan, the department must determine that actions identified in the plan, after </w:t>
      </w:r>
      <w:r w:rsidRPr="000F0FAA">
        <w:rPr>
          <w:b/>
          <w:i/>
        </w:rPr>
        <w:t>accounting for new projected uses of water over the subsequent twenty years</w:t>
      </w:r>
      <w:r w:rsidRPr="000F0FAA">
        <w:rPr>
          <w:i/>
        </w:rPr>
        <w:t>, will result in a net ecological benefit to instream resources within the water resource inventory area.</w:t>
      </w:r>
    </w:p>
    <w:p w:rsidR="00A7726D" w:rsidRPr="000F0FAA" w:rsidRDefault="00A7726D" w:rsidP="00A7726D">
      <w:pPr>
        <w:ind w:left="720"/>
        <w:rPr>
          <w:i/>
        </w:rPr>
      </w:pPr>
      <w:r w:rsidRPr="000F0FAA">
        <w:rPr>
          <w:i/>
        </w:rPr>
        <w:t xml:space="preserve">(d) The watershed restoration and enhancement plan must include an evaluation or estimation of the cost of offsetting new domestic water uses over the </w:t>
      </w:r>
      <w:r w:rsidRPr="000F0FAA">
        <w:rPr>
          <w:b/>
          <w:i/>
        </w:rPr>
        <w:t>subsequent twenty years</w:t>
      </w:r>
      <w:r w:rsidRPr="000F0FAA">
        <w:rPr>
          <w:i/>
        </w:rPr>
        <w:t xml:space="preserve">, including withdrawals exempt from permitting under RCW </w:t>
      </w:r>
      <w:hyperlink r:id="rId8" w:history="1">
        <w:r w:rsidRPr="000F0FAA">
          <w:rPr>
            <w:i/>
          </w:rPr>
          <w:t>90.44.050</w:t>
        </w:r>
      </w:hyperlink>
      <w:r w:rsidRPr="000F0FAA">
        <w:rPr>
          <w:i/>
        </w:rPr>
        <w:t>.</w:t>
      </w:r>
    </w:p>
    <w:p w:rsidR="00A7726D" w:rsidRDefault="00A7726D" w:rsidP="00A7726D">
      <w:pPr>
        <w:ind w:left="720"/>
        <w:rPr>
          <w:i/>
        </w:rPr>
      </w:pPr>
      <w:r w:rsidRPr="000F0FAA">
        <w:rPr>
          <w:i/>
        </w:rPr>
        <w:t xml:space="preserve">(e) The watershed restoration and enhancement plan must include estimates of the cumulative consumptive water use impacts over the </w:t>
      </w:r>
      <w:r w:rsidRPr="000F0FAA">
        <w:rPr>
          <w:b/>
          <w:i/>
        </w:rPr>
        <w:t>subsequent twenty years</w:t>
      </w:r>
      <w:r w:rsidRPr="000F0FAA">
        <w:rPr>
          <w:i/>
        </w:rPr>
        <w:t>,</w:t>
      </w:r>
      <w:r w:rsidRPr="00BF73B8">
        <w:rPr>
          <w:i/>
        </w:rPr>
        <w:t xml:space="preserve"> including withdrawals exempt from permitting under RCW </w:t>
      </w:r>
      <w:hyperlink r:id="rId9" w:history="1">
        <w:r w:rsidRPr="00BF73B8">
          <w:rPr>
            <w:i/>
          </w:rPr>
          <w:t>90.44.050</w:t>
        </w:r>
      </w:hyperlink>
      <w:r w:rsidRPr="00BF73B8">
        <w:rPr>
          <w:i/>
        </w:rPr>
        <w:t>.</w:t>
      </w:r>
    </w:p>
    <w:p w:rsidR="00431215" w:rsidRPr="00431215" w:rsidRDefault="00A7726D" w:rsidP="00431215">
      <w:r>
        <w:t>The WRIA 1</w:t>
      </w:r>
      <w:r>
        <w:t>0</w:t>
      </w:r>
      <w:r>
        <w:t xml:space="preserve"> plan must estimate growth projections for the watershed for January 2018 through January 2038 (at a minimum). Based on the projected growth, the plan will estimate the amount of rural growth and associated new permit exempt wells</w:t>
      </w:r>
      <w:r>
        <w:t>.</w:t>
      </w:r>
    </w:p>
    <w:p w:rsidR="00A7726D" w:rsidRDefault="00A7726D" w:rsidP="00A7726D">
      <w:pPr>
        <w:pStyle w:val="Heading1"/>
        <w:rPr>
          <w:sz w:val="24"/>
        </w:rPr>
      </w:pPr>
      <w:r w:rsidRPr="004F6617">
        <w:rPr>
          <w:sz w:val="24"/>
        </w:rPr>
        <w:t>Options</w:t>
      </w:r>
      <w:r>
        <w:rPr>
          <w:sz w:val="24"/>
        </w:rPr>
        <w:t xml:space="preserve"> for Committee Consideration</w:t>
      </w:r>
    </w:p>
    <w:p w:rsidR="00786654" w:rsidRDefault="00786654" w:rsidP="00786654">
      <w:pPr>
        <w:pStyle w:val="ListParagraph"/>
        <w:numPr>
          <w:ilvl w:val="0"/>
          <w:numId w:val="1"/>
        </w:numPr>
      </w:pPr>
      <w:r>
        <w:t>Conduct</w:t>
      </w:r>
      <w:r w:rsidR="00431215" w:rsidRPr="00431215">
        <w:t xml:space="preserve"> a Geographic Information System (GIS) analysis of county building permits, zoning, and parcel information. </w:t>
      </w:r>
    </w:p>
    <w:p w:rsidR="00786654" w:rsidRDefault="00786654" w:rsidP="00786654">
      <w:pPr>
        <w:pStyle w:val="ListParagraph"/>
        <w:numPr>
          <w:ilvl w:val="1"/>
          <w:numId w:val="1"/>
        </w:numPr>
      </w:pPr>
      <w:r>
        <w:t>Segregate data into WRIAs or sub</w:t>
      </w:r>
      <w:r w:rsidR="002A3FB8">
        <w:t>-</w:t>
      </w:r>
      <w:r>
        <w:t>basins.</w:t>
      </w:r>
      <w:r w:rsidR="00431215" w:rsidRPr="00431215">
        <w:t xml:space="preserve"> </w:t>
      </w:r>
    </w:p>
    <w:p w:rsidR="004765F6" w:rsidRPr="00786654" w:rsidRDefault="00AB4DC6" w:rsidP="00786654">
      <w:pPr>
        <w:pStyle w:val="ListParagraph"/>
        <w:numPr>
          <w:ilvl w:val="1"/>
          <w:numId w:val="1"/>
        </w:numPr>
      </w:pPr>
      <w:r w:rsidRPr="00786654">
        <w:t>Estimate number of single-family building permits issued over some previous time period (e.g. past 10 years)</w:t>
      </w:r>
    </w:p>
    <w:p w:rsidR="00146F8F" w:rsidRDefault="00AB4DC6" w:rsidP="00786654">
      <w:pPr>
        <w:pStyle w:val="ListParagraph"/>
        <w:numPr>
          <w:ilvl w:val="1"/>
          <w:numId w:val="1"/>
        </w:numPr>
      </w:pPr>
      <w:r w:rsidRPr="00786654">
        <w:t>Use results to predict permit-exempt domestic wells</w:t>
      </w:r>
      <w:r w:rsidR="00146F8F">
        <w:t xml:space="preserve"> over subsequent 20- year period.</w:t>
      </w:r>
    </w:p>
    <w:p w:rsidR="00786654" w:rsidRDefault="00786654" w:rsidP="00146F8F">
      <w:pPr>
        <w:pStyle w:val="ListParagraph"/>
        <w:numPr>
          <w:ilvl w:val="2"/>
          <w:numId w:val="1"/>
        </w:numPr>
      </w:pPr>
      <w:r>
        <w:t>Assumptions: rate of increase for new building permits, number/% of permits that rely on wells, zoning restrictions, undeveloped parcels, etc.</w:t>
      </w:r>
    </w:p>
    <w:p w:rsidR="00786654" w:rsidRDefault="00786654" w:rsidP="00146F8F">
      <w:pPr>
        <w:pStyle w:val="ListParagraph"/>
        <w:numPr>
          <w:ilvl w:val="0"/>
          <w:numId w:val="1"/>
        </w:numPr>
      </w:pPr>
      <w:r>
        <w:lastRenderedPageBreak/>
        <w:t>Population forecasts</w:t>
      </w:r>
      <w:r w:rsidR="00146F8F">
        <w:t xml:space="preserve"> (u</w:t>
      </w:r>
      <w:r w:rsidR="00146F8F" w:rsidRPr="00431215">
        <w:t>pon request, OFM can</w:t>
      </w:r>
      <w:r w:rsidR="00146F8F">
        <w:t xml:space="preserve"> </w:t>
      </w:r>
      <w:r w:rsidR="00146F8F" w:rsidRPr="00431215">
        <w:t>prepare 2000-2017 small area estimates</w:t>
      </w:r>
      <w:r w:rsidR="00146F8F">
        <w:t xml:space="preserve"> for basin or sub-basin).</w:t>
      </w:r>
    </w:p>
    <w:p w:rsidR="002A3FB8" w:rsidRDefault="002A3FB8" w:rsidP="00786654">
      <w:pPr>
        <w:pStyle w:val="ListParagraph"/>
        <w:numPr>
          <w:ilvl w:val="1"/>
          <w:numId w:val="1"/>
        </w:numPr>
      </w:pPr>
      <w:r>
        <w:t xml:space="preserve">Use </w:t>
      </w:r>
      <w:r w:rsidR="00146F8F">
        <w:t>population estimates</w:t>
      </w:r>
      <w:r w:rsidR="00431215" w:rsidRPr="00431215">
        <w:t xml:space="preserve"> for two different years (e.</w:t>
      </w:r>
      <w:r>
        <w:t>g. 2008 and 2018</w:t>
      </w:r>
      <w:r w:rsidR="00431215" w:rsidRPr="00431215">
        <w:t xml:space="preserve">), then use that rate of increase to predict future populations. </w:t>
      </w:r>
    </w:p>
    <w:p w:rsidR="002A3FB8" w:rsidRDefault="002A3FB8" w:rsidP="002A3FB8">
      <w:pPr>
        <w:pStyle w:val="ListParagraph"/>
        <w:numPr>
          <w:ilvl w:val="2"/>
          <w:numId w:val="1"/>
        </w:numPr>
      </w:pPr>
      <w:r>
        <w:t>Assumptions:</w:t>
      </w:r>
      <w:r w:rsidR="00146F8F">
        <w:t xml:space="preserve"> current population estimates,</w:t>
      </w:r>
      <w:r>
        <w:t xml:space="preserve"> </w:t>
      </w:r>
      <w:r w:rsidRPr="002A3FB8">
        <w:t>rate of increase, % of population using municipal/ community water system, average number of people per household, etc.</w:t>
      </w:r>
    </w:p>
    <w:p w:rsidR="002A3FB8" w:rsidRDefault="002A3FB8" w:rsidP="00786654">
      <w:pPr>
        <w:pStyle w:val="ListParagraph"/>
        <w:numPr>
          <w:ilvl w:val="1"/>
          <w:numId w:val="1"/>
        </w:numPr>
      </w:pPr>
      <w:r>
        <w:t>U</w:t>
      </w:r>
      <w:r w:rsidRPr="00431215">
        <w:t>se current population</w:t>
      </w:r>
      <w:r w:rsidR="00146F8F">
        <w:t xml:space="preserve"> estimate</w:t>
      </w:r>
      <w:r w:rsidRPr="00431215">
        <w:t>s for a given sub</w:t>
      </w:r>
      <w:r>
        <w:t>-</w:t>
      </w:r>
      <w:r w:rsidRPr="00431215">
        <w:t xml:space="preserve">basin or WRIA as a base, then increase that number based on county population projections. </w:t>
      </w:r>
    </w:p>
    <w:p w:rsidR="00146F8F" w:rsidRDefault="002A3FB8" w:rsidP="002A3FB8">
      <w:pPr>
        <w:pStyle w:val="ListParagraph"/>
        <w:numPr>
          <w:ilvl w:val="2"/>
          <w:numId w:val="1"/>
        </w:numPr>
      </w:pPr>
      <w:r>
        <w:t xml:space="preserve">Assumptions: </w:t>
      </w:r>
      <w:r w:rsidR="00146F8F">
        <w:t xml:space="preserve">current population estimates, </w:t>
      </w:r>
      <w:r w:rsidRPr="002A3FB8">
        <w:t>rate of increase, population per basin/sub</w:t>
      </w:r>
      <w:r>
        <w:t>-</w:t>
      </w:r>
      <w:r w:rsidRPr="002A3FB8">
        <w:t xml:space="preserve">basins that span </w:t>
      </w:r>
      <w:r>
        <w:t>county</w:t>
      </w:r>
      <w:r w:rsidRPr="002A3FB8">
        <w:t xml:space="preserve"> boundaries, population using municipal/community water system, average number of people per household, etc.</w:t>
      </w:r>
    </w:p>
    <w:p w:rsidR="0011399E" w:rsidRDefault="00146F8F" w:rsidP="0011399E">
      <w:pPr>
        <w:pStyle w:val="ListParagraph"/>
        <w:numPr>
          <w:ilvl w:val="2"/>
          <w:numId w:val="1"/>
        </w:numPr>
      </w:pPr>
      <w:r>
        <w:t>T</w:t>
      </w:r>
      <w:r w:rsidR="00431215" w:rsidRPr="00431215">
        <w:t>his method requires looking at projections for multiple counties, then inferring a reasonable assumptions for each sub</w:t>
      </w:r>
      <w:r>
        <w:t>-</w:t>
      </w:r>
      <w:r w:rsidR="00431215" w:rsidRPr="00431215">
        <w:t xml:space="preserve">basin or WRIA. </w:t>
      </w:r>
    </w:p>
    <w:p w:rsidR="0011399E" w:rsidRPr="0011399E" w:rsidRDefault="0011399E" w:rsidP="0011399E">
      <w:pPr>
        <w:pStyle w:val="ListParagraph"/>
        <w:numPr>
          <w:ilvl w:val="1"/>
          <w:numId w:val="1"/>
        </w:numPr>
      </w:pPr>
      <w:r w:rsidRPr="0011399E">
        <w:t>Use growth projections from County Comprehensive Plans.</w:t>
      </w:r>
    </w:p>
    <w:p w:rsidR="0011399E" w:rsidRDefault="0011399E" w:rsidP="0011399E">
      <w:pPr>
        <w:pStyle w:val="ListParagraph"/>
        <w:numPr>
          <w:ilvl w:val="2"/>
          <w:numId w:val="1"/>
        </w:numPr>
      </w:pPr>
      <w:r>
        <w:t xml:space="preserve">Assumptions: </w:t>
      </w:r>
      <w:r w:rsidRPr="0011399E">
        <w:t>rate of increase, population per basin/sub</w:t>
      </w:r>
      <w:r>
        <w:t>-</w:t>
      </w:r>
      <w:r w:rsidRPr="0011399E">
        <w:t xml:space="preserve">basins that span </w:t>
      </w:r>
      <w:r>
        <w:t>jurisdiction</w:t>
      </w:r>
      <w:r w:rsidRPr="0011399E">
        <w:t xml:space="preserve"> boundaries, population using municipal/community water system, average number of people per household,</w:t>
      </w:r>
      <w:r>
        <w:t xml:space="preserve"> targeted growth,</w:t>
      </w:r>
      <w:r w:rsidRPr="0011399E">
        <w:t xml:space="preserve"> etc.</w:t>
      </w:r>
    </w:p>
    <w:p w:rsidR="00146F8F" w:rsidRDefault="00146F8F" w:rsidP="00146F8F">
      <w:pPr>
        <w:pStyle w:val="ListParagraph"/>
        <w:numPr>
          <w:ilvl w:val="0"/>
          <w:numId w:val="1"/>
        </w:numPr>
      </w:pPr>
      <w:r>
        <w:t>Use TPCHD well data</w:t>
      </w:r>
      <w:r w:rsidR="00D46A71">
        <w:t xml:space="preserve"> of wells drilled in the past 15-20 years</w:t>
      </w:r>
      <w:r>
        <w:t xml:space="preserve"> to </w:t>
      </w:r>
      <w:r w:rsidR="00D46A71">
        <w:t>predict the rate of well increase in the next 20 years of wells.</w:t>
      </w:r>
    </w:p>
    <w:p w:rsidR="00D46A71" w:rsidRDefault="00D46A71" w:rsidP="00D46A71">
      <w:pPr>
        <w:pStyle w:val="ListParagraph"/>
        <w:numPr>
          <w:ilvl w:val="1"/>
          <w:numId w:val="1"/>
        </w:numPr>
      </w:pPr>
      <w:r>
        <w:t>Segregate data into sub-basins, and inside water system areas and outside of water system areas.</w:t>
      </w:r>
    </w:p>
    <w:p w:rsidR="00D46A71" w:rsidRDefault="00D46A71" w:rsidP="00D46A71">
      <w:pPr>
        <w:pStyle w:val="ListParagraph"/>
        <w:numPr>
          <w:ilvl w:val="1"/>
          <w:numId w:val="1"/>
        </w:numPr>
      </w:pPr>
      <w:r>
        <w:t>Use past rate to estimate future rate of wells in each sub-basin.</w:t>
      </w:r>
    </w:p>
    <w:p w:rsidR="00D46A71" w:rsidRDefault="00D46A71" w:rsidP="00D46A71">
      <w:pPr>
        <w:pStyle w:val="ListParagraph"/>
        <w:numPr>
          <w:ilvl w:val="1"/>
          <w:numId w:val="1"/>
        </w:numPr>
      </w:pPr>
      <w:r>
        <w:t>This data set is only available in the Pierce County portion of the watershed.</w:t>
      </w:r>
    </w:p>
    <w:p w:rsidR="00D46A71" w:rsidRDefault="00D46A71" w:rsidP="00D46A71">
      <w:pPr>
        <w:pStyle w:val="ListParagraph"/>
        <w:numPr>
          <w:ilvl w:val="2"/>
          <w:numId w:val="1"/>
        </w:numPr>
      </w:pPr>
      <w:r>
        <w:t>Assumptions: steady rate of increase, water system coverage</w:t>
      </w:r>
      <w:r w:rsidR="0011399E">
        <w:t xml:space="preserve"> areas</w:t>
      </w:r>
      <w:r>
        <w:t>.</w:t>
      </w:r>
    </w:p>
    <w:p w:rsidR="0011399E" w:rsidRDefault="00930A4E" w:rsidP="0011399E">
      <w:pPr>
        <w:pStyle w:val="ListParagraph"/>
        <w:numPr>
          <w:ilvl w:val="0"/>
          <w:numId w:val="1"/>
        </w:numPr>
      </w:pPr>
      <w:r>
        <w:t>Developable lands (similar to the King County study).</w:t>
      </w:r>
    </w:p>
    <w:p w:rsidR="004765F6" w:rsidRPr="00930A4E" w:rsidRDefault="00AB4DC6" w:rsidP="00930A4E">
      <w:pPr>
        <w:pStyle w:val="ListParagraph"/>
        <w:numPr>
          <w:ilvl w:val="1"/>
          <w:numId w:val="1"/>
        </w:numPr>
      </w:pPr>
      <w:r w:rsidRPr="00930A4E">
        <w:t>Use GIS data to identify buildable/developable land.</w:t>
      </w:r>
    </w:p>
    <w:p w:rsidR="004765F6" w:rsidRPr="00930A4E" w:rsidRDefault="00AB4DC6" w:rsidP="00930A4E">
      <w:pPr>
        <w:pStyle w:val="ListParagraph"/>
        <w:numPr>
          <w:ilvl w:val="1"/>
          <w:numId w:val="1"/>
        </w:numPr>
      </w:pPr>
      <w:r w:rsidRPr="00930A4E">
        <w:t>Overlay zoning information to capture residential density potential.</w:t>
      </w:r>
    </w:p>
    <w:p w:rsidR="004765F6" w:rsidRPr="00930A4E" w:rsidRDefault="00AB4DC6" w:rsidP="00930A4E">
      <w:pPr>
        <w:pStyle w:val="ListParagraph"/>
        <w:numPr>
          <w:ilvl w:val="1"/>
          <w:numId w:val="1"/>
        </w:numPr>
      </w:pPr>
      <w:r w:rsidRPr="00930A4E">
        <w:t>Remove areas with municipal/community water systems.</w:t>
      </w:r>
    </w:p>
    <w:p w:rsidR="004765F6" w:rsidRPr="00930A4E" w:rsidRDefault="00AB4DC6" w:rsidP="00930A4E">
      <w:pPr>
        <w:pStyle w:val="ListParagraph"/>
        <w:numPr>
          <w:ilvl w:val="1"/>
          <w:numId w:val="1"/>
        </w:numPr>
      </w:pPr>
      <w:r w:rsidRPr="00930A4E">
        <w:t>Determine likelihood of development in the next 20 years based on growth rates</w:t>
      </w:r>
      <w:r w:rsidR="00930A4E">
        <w:t xml:space="preserve"> (see options 1 and 2)</w:t>
      </w:r>
      <w:r w:rsidRPr="00930A4E">
        <w:t>.</w:t>
      </w:r>
    </w:p>
    <w:p w:rsidR="00930A4E" w:rsidRPr="00431215" w:rsidRDefault="00930A4E" w:rsidP="00930A4E">
      <w:pPr>
        <w:pStyle w:val="ListParagraph"/>
        <w:numPr>
          <w:ilvl w:val="2"/>
          <w:numId w:val="1"/>
        </w:numPr>
      </w:pPr>
      <w:r>
        <w:t>Assumptions: 20-</w:t>
      </w:r>
      <w:r w:rsidRPr="00930A4E">
        <w:t xml:space="preserve">year rate of development, parcels to exclude, connections in water service areas, </w:t>
      </w:r>
      <w:r>
        <w:t xml:space="preserve">additional assumptions related to population forecasts or building permit methods, </w:t>
      </w:r>
      <w:r w:rsidRPr="00930A4E">
        <w:t>etc.</w:t>
      </w:r>
    </w:p>
    <w:p w:rsidR="00A7726D" w:rsidRDefault="00A7726D" w:rsidP="00A7726D">
      <w:pPr>
        <w:pStyle w:val="Heading1"/>
        <w:rPr>
          <w:sz w:val="24"/>
        </w:rPr>
      </w:pPr>
      <w:r w:rsidRPr="00B63D0A">
        <w:rPr>
          <w:sz w:val="24"/>
        </w:rPr>
        <w:t xml:space="preserve">Questions for </w:t>
      </w:r>
      <w:r>
        <w:rPr>
          <w:sz w:val="24"/>
        </w:rPr>
        <w:t>Committee Discussion</w:t>
      </w:r>
    </w:p>
    <w:p w:rsidR="00A7726D" w:rsidRDefault="00A7726D" w:rsidP="002A3FB8">
      <w:pPr>
        <w:pStyle w:val="ListParagraph"/>
        <w:numPr>
          <w:ilvl w:val="0"/>
          <w:numId w:val="3"/>
        </w:numPr>
        <w:spacing w:line="276" w:lineRule="auto"/>
      </w:pPr>
      <w:r>
        <w:t>What questions do you have about the methods discussed above?</w:t>
      </w:r>
    </w:p>
    <w:p w:rsidR="00A7726D" w:rsidRDefault="00A7726D" w:rsidP="002A3FB8">
      <w:pPr>
        <w:pStyle w:val="ListParagraph"/>
        <w:numPr>
          <w:ilvl w:val="0"/>
          <w:numId w:val="3"/>
        </w:numPr>
        <w:spacing w:line="276" w:lineRule="auto"/>
      </w:pPr>
      <w:r>
        <w:t>What do you think are the pros and cons of each method?</w:t>
      </w:r>
    </w:p>
    <w:p w:rsidR="00431215" w:rsidRDefault="00431215" w:rsidP="002A3FB8">
      <w:pPr>
        <w:pStyle w:val="ListParagraph"/>
        <w:numPr>
          <w:ilvl w:val="0"/>
          <w:numId w:val="3"/>
        </w:numPr>
        <w:spacing w:line="276" w:lineRule="auto"/>
      </w:pPr>
      <w:r w:rsidRPr="00431215">
        <w:t>What approach do we recommend to our consultants for developing population estimates?</w:t>
      </w:r>
    </w:p>
    <w:p w:rsidR="00D46A71" w:rsidRPr="00431215" w:rsidRDefault="00D46A71" w:rsidP="00D46A71">
      <w:pPr>
        <w:pStyle w:val="ListParagraph"/>
        <w:numPr>
          <w:ilvl w:val="1"/>
          <w:numId w:val="3"/>
        </w:numPr>
        <w:spacing w:line="276" w:lineRule="auto"/>
      </w:pPr>
      <w:r>
        <w:t>Do we want to consider multiple approaches?</w:t>
      </w:r>
    </w:p>
    <w:p w:rsidR="00431215" w:rsidRPr="00431215" w:rsidRDefault="00431215" w:rsidP="002A3FB8">
      <w:pPr>
        <w:pStyle w:val="ListParagraph"/>
        <w:numPr>
          <w:ilvl w:val="0"/>
          <w:numId w:val="3"/>
        </w:numPr>
        <w:spacing w:line="276" w:lineRule="auto"/>
      </w:pPr>
      <w:r w:rsidRPr="00431215">
        <w:t>Do we want to consider a range for projected growth?</w:t>
      </w:r>
    </w:p>
    <w:p w:rsidR="00431215" w:rsidRDefault="00431215" w:rsidP="002A3FB8">
      <w:pPr>
        <w:pStyle w:val="ListParagraph"/>
        <w:numPr>
          <w:ilvl w:val="0"/>
          <w:numId w:val="3"/>
        </w:numPr>
        <w:spacing w:line="276" w:lineRule="auto"/>
      </w:pPr>
      <w:r w:rsidRPr="00431215">
        <w:t>Is there key data not identified above that we want to ensure is considered?</w:t>
      </w:r>
    </w:p>
    <w:p w:rsidR="005E4BCF" w:rsidRDefault="005E4BCF" w:rsidP="002A3FB8">
      <w:pPr>
        <w:pStyle w:val="ListParagraph"/>
        <w:numPr>
          <w:ilvl w:val="0"/>
          <w:numId w:val="3"/>
        </w:numPr>
        <w:spacing w:line="276" w:lineRule="auto"/>
      </w:pPr>
      <w:r>
        <w:t>Are the</w:t>
      </w:r>
      <w:bookmarkStart w:id="0" w:name="_GoBack"/>
      <w:bookmarkEnd w:id="0"/>
      <w:r>
        <w:t>re other assumptions associated with these methods that we should consider?</w:t>
      </w:r>
    </w:p>
    <w:p w:rsidR="00431215" w:rsidRPr="00431215" w:rsidRDefault="00AB4DC6" w:rsidP="00A15E2D">
      <w:pPr>
        <w:pStyle w:val="ListParagraph"/>
        <w:numPr>
          <w:ilvl w:val="0"/>
          <w:numId w:val="3"/>
        </w:numPr>
        <w:spacing w:line="276" w:lineRule="auto"/>
      </w:pPr>
      <w:r>
        <w:t>How do we want to account for the recession and immediate impact of Hirst decision</w:t>
      </w:r>
      <w:r w:rsidR="005E4BCF">
        <w:t xml:space="preserve"> </w:t>
      </w:r>
      <w:r>
        <w:t>in the last</w:t>
      </w:r>
      <w:r w:rsidR="005E4BCF">
        <w:t xml:space="preserve"> 10 years</w:t>
      </w:r>
      <w:r>
        <w:t xml:space="preserve"> of data?</w:t>
      </w:r>
    </w:p>
    <w:p w:rsidR="00431215" w:rsidRPr="00431215" w:rsidRDefault="00431215" w:rsidP="00431215"/>
    <w:p w:rsidR="00A8442B" w:rsidRDefault="00A8442B"/>
    <w:sectPr w:rsidR="00A8442B" w:rsidSect="00A7726D">
      <w:pgSz w:w="12240" w:h="15840"/>
      <w:pgMar w:top="8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6D" w:rsidRDefault="00A7726D" w:rsidP="00A7726D">
      <w:pPr>
        <w:spacing w:after="0" w:line="240" w:lineRule="auto"/>
      </w:pPr>
      <w:r>
        <w:separator/>
      </w:r>
    </w:p>
  </w:endnote>
  <w:endnote w:type="continuationSeparator" w:id="0">
    <w:p w:rsidR="00A7726D" w:rsidRDefault="00A7726D" w:rsidP="00A7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6D" w:rsidRDefault="00A7726D" w:rsidP="00A7726D">
      <w:pPr>
        <w:spacing w:after="0" w:line="240" w:lineRule="auto"/>
      </w:pPr>
      <w:r>
        <w:separator/>
      </w:r>
    </w:p>
  </w:footnote>
  <w:footnote w:type="continuationSeparator" w:id="0">
    <w:p w:rsidR="00A7726D" w:rsidRDefault="00A7726D" w:rsidP="00A77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3B4"/>
    <w:multiLevelType w:val="hybridMultilevel"/>
    <w:tmpl w:val="72CA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12E"/>
    <w:multiLevelType w:val="hybridMultilevel"/>
    <w:tmpl w:val="62249B90"/>
    <w:lvl w:ilvl="0" w:tplc="6E902C1A">
      <w:start w:val="1"/>
      <w:numFmt w:val="decimal"/>
      <w:lvlText w:val="%1."/>
      <w:lvlJc w:val="left"/>
      <w:pPr>
        <w:tabs>
          <w:tab w:val="num" w:pos="720"/>
        </w:tabs>
        <w:ind w:left="720" w:hanging="360"/>
      </w:pPr>
    </w:lvl>
    <w:lvl w:ilvl="1" w:tplc="4312970A" w:tentative="1">
      <w:start w:val="1"/>
      <w:numFmt w:val="decimal"/>
      <w:lvlText w:val="%2."/>
      <w:lvlJc w:val="left"/>
      <w:pPr>
        <w:tabs>
          <w:tab w:val="num" w:pos="1440"/>
        </w:tabs>
        <w:ind w:left="1440" w:hanging="360"/>
      </w:pPr>
    </w:lvl>
    <w:lvl w:ilvl="2" w:tplc="D3FE74CA" w:tentative="1">
      <w:start w:val="1"/>
      <w:numFmt w:val="decimal"/>
      <w:lvlText w:val="%3."/>
      <w:lvlJc w:val="left"/>
      <w:pPr>
        <w:tabs>
          <w:tab w:val="num" w:pos="2160"/>
        </w:tabs>
        <w:ind w:left="2160" w:hanging="360"/>
      </w:pPr>
    </w:lvl>
    <w:lvl w:ilvl="3" w:tplc="EA1E2106" w:tentative="1">
      <w:start w:val="1"/>
      <w:numFmt w:val="decimal"/>
      <w:lvlText w:val="%4."/>
      <w:lvlJc w:val="left"/>
      <w:pPr>
        <w:tabs>
          <w:tab w:val="num" w:pos="2880"/>
        </w:tabs>
        <w:ind w:left="2880" w:hanging="360"/>
      </w:pPr>
    </w:lvl>
    <w:lvl w:ilvl="4" w:tplc="69684D2A" w:tentative="1">
      <w:start w:val="1"/>
      <w:numFmt w:val="decimal"/>
      <w:lvlText w:val="%5."/>
      <w:lvlJc w:val="left"/>
      <w:pPr>
        <w:tabs>
          <w:tab w:val="num" w:pos="3600"/>
        </w:tabs>
        <w:ind w:left="3600" w:hanging="360"/>
      </w:pPr>
    </w:lvl>
    <w:lvl w:ilvl="5" w:tplc="B246D262" w:tentative="1">
      <w:start w:val="1"/>
      <w:numFmt w:val="decimal"/>
      <w:lvlText w:val="%6."/>
      <w:lvlJc w:val="left"/>
      <w:pPr>
        <w:tabs>
          <w:tab w:val="num" w:pos="4320"/>
        </w:tabs>
        <w:ind w:left="4320" w:hanging="360"/>
      </w:pPr>
    </w:lvl>
    <w:lvl w:ilvl="6" w:tplc="B8B0C9A8" w:tentative="1">
      <w:start w:val="1"/>
      <w:numFmt w:val="decimal"/>
      <w:lvlText w:val="%7."/>
      <w:lvlJc w:val="left"/>
      <w:pPr>
        <w:tabs>
          <w:tab w:val="num" w:pos="5040"/>
        </w:tabs>
        <w:ind w:left="5040" w:hanging="360"/>
      </w:pPr>
    </w:lvl>
    <w:lvl w:ilvl="7" w:tplc="D75C8CB8" w:tentative="1">
      <w:start w:val="1"/>
      <w:numFmt w:val="decimal"/>
      <w:lvlText w:val="%8."/>
      <w:lvlJc w:val="left"/>
      <w:pPr>
        <w:tabs>
          <w:tab w:val="num" w:pos="5760"/>
        </w:tabs>
        <w:ind w:left="5760" w:hanging="360"/>
      </w:pPr>
    </w:lvl>
    <w:lvl w:ilvl="8" w:tplc="08921BC4" w:tentative="1">
      <w:start w:val="1"/>
      <w:numFmt w:val="decimal"/>
      <w:lvlText w:val="%9."/>
      <w:lvlJc w:val="left"/>
      <w:pPr>
        <w:tabs>
          <w:tab w:val="num" w:pos="6480"/>
        </w:tabs>
        <w:ind w:left="6480" w:hanging="360"/>
      </w:pPr>
    </w:lvl>
  </w:abstractNum>
  <w:abstractNum w:abstractNumId="2" w15:restartNumberingAfterBreak="0">
    <w:nsid w:val="49D37A5F"/>
    <w:multiLevelType w:val="hybridMultilevel"/>
    <w:tmpl w:val="BBC62F02"/>
    <w:lvl w:ilvl="0" w:tplc="D2909A94">
      <w:start w:val="1"/>
      <w:numFmt w:val="decimal"/>
      <w:lvlText w:val="%1."/>
      <w:lvlJc w:val="left"/>
      <w:pPr>
        <w:tabs>
          <w:tab w:val="num" w:pos="720"/>
        </w:tabs>
        <w:ind w:left="720" w:hanging="360"/>
      </w:pPr>
    </w:lvl>
    <w:lvl w:ilvl="1" w:tplc="95B4963E" w:tentative="1">
      <w:start w:val="1"/>
      <w:numFmt w:val="decimal"/>
      <w:lvlText w:val="%2."/>
      <w:lvlJc w:val="left"/>
      <w:pPr>
        <w:tabs>
          <w:tab w:val="num" w:pos="1440"/>
        </w:tabs>
        <w:ind w:left="1440" w:hanging="360"/>
      </w:pPr>
    </w:lvl>
    <w:lvl w:ilvl="2" w:tplc="3CD888FE" w:tentative="1">
      <w:start w:val="1"/>
      <w:numFmt w:val="decimal"/>
      <w:lvlText w:val="%3."/>
      <w:lvlJc w:val="left"/>
      <w:pPr>
        <w:tabs>
          <w:tab w:val="num" w:pos="2160"/>
        </w:tabs>
        <w:ind w:left="2160" w:hanging="360"/>
      </w:pPr>
    </w:lvl>
    <w:lvl w:ilvl="3" w:tplc="2196D1C0" w:tentative="1">
      <w:start w:val="1"/>
      <w:numFmt w:val="decimal"/>
      <w:lvlText w:val="%4."/>
      <w:lvlJc w:val="left"/>
      <w:pPr>
        <w:tabs>
          <w:tab w:val="num" w:pos="2880"/>
        </w:tabs>
        <w:ind w:left="2880" w:hanging="360"/>
      </w:pPr>
    </w:lvl>
    <w:lvl w:ilvl="4" w:tplc="2F8C733A" w:tentative="1">
      <w:start w:val="1"/>
      <w:numFmt w:val="decimal"/>
      <w:lvlText w:val="%5."/>
      <w:lvlJc w:val="left"/>
      <w:pPr>
        <w:tabs>
          <w:tab w:val="num" w:pos="3600"/>
        </w:tabs>
        <w:ind w:left="3600" w:hanging="360"/>
      </w:pPr>
    </w:lvl>
    <w:lvl w:ilvl="5" w:tplc="05DAE1C2" w:tentative="1">
      <w:start w:val="1"/>
      <w:numFmt w:val="decimal"/>
      <w:lvlText w:val="%6."/>
      <w:lvlJc w:val="left"/>
      <w:pPr>
        <w:tabs>
          <w:tab w:val="num" w:pos="4320"/>
        </w:tabs>
        <w:ind w:left="4320" w:hanging="360"/>
      </w:pPr>
    </w:lvl>
    <w:lvl w:ilvl="6" w:tplc="7E60D00A" w:tentative="1">
      <w:start w:val="1"/>
      <w:numFmt w:val="decimal"/>
      <w:lvlText w:val="%7."/>
      <w:lvlJc w:val="left"/>
      <w:pPr>
        <w:tabs>
          <w:tab w:val="num" w:pos="5040"/>
        </w:tabs>
        <w:ind w:left="5040" w:hanging="360"/>
      </w:pPr>
    </w:lvl>
    <w:lvl w:ilvl="7" w:tplc="B4964F46" w:tentative="1">
      <w:start w:val="1"/>
      <w:numFmt w:val="decimal"/>
      <w:lvlText w:val="%8."/>
      <w:lvlJc w:val="left"/>
      <w:pPr>
        <w:tabs>
          <w:tab w:val="num" w:pos="5760"/>
        </w:tabs>
        <w:ind w:left="5760" w:hanging="360"/>
      </w:pPr>
    </w:lvl>
    <w:lvl w:ilvl="8" w:tplc="B4CC715C" w:tentative="1">
      <w:start w:val="1"/>
      <w:numFmt w:val="decimal"/>
      <w:lvlText w:val="%9."/>
      <w:lvlJc w:val="left"/>
      <w:pPr>
        <w:tabs>
          <w:tab w:val="num" w:pos="6480"/>
        </w:tabs>
        <w:ind w:left="6480" w:hanging="360"/>
      </w:pPr>
    </w:lvl>
  </w:abstractNum>
  <w:abstractNum w:abstractNumId="3" w15:restartNumberingAfterBreak="0">
    <w:nsid w:val="7F3C74E1"/>
    <w:multiLevelType w:val="hybridMultilevel"/>
    <w:tmpl w:val="659EF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15"/>
    <w:rsid w:val="0011399E"/>
    <w:rsid w:val="00146F8F"/>
    <w:rsid w:val="002A3FB8"/>
    <w:rsid w:val="00431215"/>
    <w:rsid w:val="004765F6"/>
    <w:rsid w:val="005E4BCF"/>
    <w:rsid w:val="00786654"/>
    <w:rsid w:val="00930A4E"/>
    <w:rsid w:val="00A7726D"/>
    <w:rsid w:val="00A8442B"/>
    <w:rsid w:val="00AB4DC6"/>
    <w:rsid w:val="00D4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4BE7A"/>
  <w15:chartTrackingRefBased/>
  <w15:docId w15:val="{5905ED8C-4B31-4613-9F22-465AE3D5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26D"/>
    <w:pPr>
      <w:keepNext/>
      <w:keepLines/>
      <w:spacing w:before="240" w:after="0" w:line="240" w:lineRule="auto"/>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A7726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54"/>
    <w:pPr>
      <w:ind w:left="720"/>
      <w:contextualSpacing/>
    </w:pPr>
  </w:style>
  <w:style w:type="paragraph" w:styleId="NormalWeb">
    <w:name w:val="Normal (Web)"/>
    <w:basedOn w:val="Normal"/>
    <w:uiPriority w:val="99"/>
    <w:semiHidden/>
    <w:unhideWhenUsed/>
    <w:rsid w:val="002A3F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styleChar">
    <w:name w:val="Sub-title style Char"/>
    <w:basedOn w:val="DefaultParagraphFont"/>
    <w:link w:val="Sub-titlestyle"/>
    <w:locked/>
    <w:rsid w:val="00A7726D"/>
    <w:rPr>
      <w:rFonts w:ascii="Rockwell" w:hAnsi="Rockwell"/>
      <w:color w:val="0070C0"/>
    </w:rPr>
  </w:style>
  <w:style w:type="paragraph" w:customStyle="1" w:styleId="Sub-titlestyle">
    <w:name w:val="Sub-title style"/>
    <w:basedOn w:val="Normal"/>
    <w:link w:val="Sub-titlestyleChar"/>
    <w:rsid w:val="00A7726D"/>
    <w:pPr>
      <w:spacing w:after="0" w:line="240" w:lineRule="auto"/>
      <w:ind w:firstLine="1800"/>
    </w:pPr>
    <w:rPr>
      <w:rFonts w:ascii="Rockwell" w:hAnsi="Rockwell"/>
      <w:color w:val="0070C0"/>
    </w:rPr>
  </w:style>
  <w:style w:type="character" w:customStyle="1" w:styleId="TitlestyleChar">
    <w:name w:val="Title style Char"/>
    <w:basedOn w:val="DefaultParagraphFont"/>
    <w:link w:val="Titlestyle"/>
    <w:locked/>
    <w:rsid w:val="00A7726D"/>
    <w:rPr>
      <w:rFonts w:ascii="Rockwell" w:hAnsi="Rockwell"/>
      <w:color w:val="7F7F7F"/>
    </w:rPr>
  </w:style>
  <w:style w:type="paragraph" w:customStyle="1" w:styleId="Titlestyle">
    <w:name w:val="Title style"/>
    <w:basedOn w:val="Normal"/>
    <w:link w:val="TitlestyleChar"/>
    <w:rsid w:val="00A7726D"/>
    <w:pPr>
      <w:spacing w:after="0" w:line="240" w:lineRule="auto"/>
      <w:ind w:firstLine="1800"/>
    </w:pPr>
    <w:rPr>
      <w:rFonts w:ascii="Rockwell" w:hAnsi="Rockwell"/>
      <w:color w:val="7F7F7F"/>
    </w:rPr>
  </w:style>
  <w:style w:type="paragraph" w:styleId="Header">
    <w:name w:val="header"/>
    <w:basedOn w:val="Normal"/>
    <w:link w:val="HeaderChar"/>
    <w:uiPriority w:val="99"/>
    <w:unhideWhenUsed/>
    <w:rsid w:val="00A7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26D"/>
  </w:style>
  <w:style w:type="paragraph" w:styleId="Footer">
    <w:name w:val="footer"/>
    <w:basedOn w:val="Normal"/>
    <w:link w:val="FooterChar"/>
    <w:uiPriority w:val="99"/>
    <w:unhideWhenUsed/>
    <w:rsid w:val="00A7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26D"/>
  </w:style>
  <w:style w:type="character" w:customStyle="1" w:styleId="Heading1Char">
    <w:name w:val="Heading 1 Char"/>
    <w:basedOn w:val="DefaultParagraphFont"/>
    <w:link w:val="Heading1"/>
    <w:uiPriority w:val="9"/>
    <w:rsid w:val="00A7726D"/>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A772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690">
      <w:bodyDiv w:val="1"/>
      <w:marLeft w:val="0"/>
      <w:marRight w:val="0"/>
      <w:marTop w:val="0"/>
      <w:marBottom w:val="0"/>
      <w:divBdr>
        <w:top w:val="none" w:sz="0" w:space="0" w:color="auto"/>
        <w:left w:val="none" w:sz="0" w:space="0" w:color="auto"/>
        <w:bottom w:val="none" w:sz="0" w:space="0" w:color="auto"/>
        <w:right w:val="none" w:sz="0" w:space="0" w:color="auto"/>
      </w:divBdr>
      <w:divsChild>
        <w:div w:id="1333878580">
          <w:marLeft w:val="1166"/>
          <w:marRight w:val="0"/>
          <w:marTop w:val="134"/>
          <w:marBottom w:val="0"/>
          <w:divBdr>
            <w:top w:val="none" w:sz="0" w:space="0" w:color="auto"/>
            <w:left w:val="none" w:sz="0" w:space="0" w:color="auto"/>
            <w:bottom w:val="none" w:sz="0" w:space="0" w:color="auto"/>
            <w:right w:val="none" w:sz="0" w:space="0" w:color="auto"/>
          </w:divBdr>
        </w:div>
        <w:div w:id="1177966528">
          <w:marLeft w:val="1166"/>
          <w:marRight w:val="0"/>
          <w:marTop w:val="134"/>
          <w:marBottom w:val="0"/>
          <w:divBdr>
            <w:top w:val="none" w:sz="0" w:space="0" w:color="auto"/>
            <w:left w:val="none" w:sz="0" w:space="0" w:color="auto"/>
            <w:bottom w:val="none" w:sz="0" w:space="0" w:color="auto"/>
            <w:right w:val="none" w:sz="0" w:space="0" w:color="auto"/>
          </w:divBdr>
        </w:div>
      </w:divsChild>
    </w:div>
    <w:div w:id="29230381">
      <w:bodyDiv w:val="1"/>
      <w:marLeft w:val="0"/>
      <w:marRight w:val="0"/>
      <w:marTop w:val="0"/>
      <w:marBottom w:val="0"/>
      <w:divBdr>
        <w:top w:val="none" w:sz="0" w:space="0" w:color="auto"/>
        <w:left w:val="none" w:sz="0" w:space="0" w:color="auto"/>
        <w:bottom w:val="none" w:sz="0" w:space="0" w:color="auto"/>
        <w:right w:val="none" w:sz="0" w:space="0" w:color="auto"/>
      </w:divBdr>
    </w:div>
    <w:div w:id="719019140">
      <w:bodyDiv w:val="1"/>
      <w:marLeft w:val="0"/>
      <w:marRight w:val="0"/>
      <w:marTop w:val="0"/>
      <w:marBottom w:val="0"/>
      <w:divBdr>
        <w:top w:val="none" w:sz="0" w:space="0" w:color="auto"/>
        <w:left w:val="none" w:sz="0" w:space="0" w:color="auto"/>
        <w:bottom w:val="none" w:sz="0" w:space="0" w:color="auto"/>
        <w:right w:val="none" w:sz="0" w:space="0" w:color="auto"/>
      </w:divBdr>
      <w:divsChild>
        <w:div w:id="2113546445">
          <w:marLeft w:val="806"/>
          <w:marRight w:val="0"/>
          <w:marTop w:val="134"/>
          <w:marBottom w:val="0"/>
          <w:divBdr>
            <w:top w:val="none" w:sz="0" w:space="0" w:color="auto"/>
            <w:left w:val="none" w:sz="0" w:space="0" w:color="auto"/>
            <w:bottom w:val="none" w:sz="0" w:space="0" w:color="auto"/>
            <w:right w:val="none" w:sz="0" w:space="0" w:color="auto"/>
          </w:divBdr>
        </w:div>
        <w:div w:id="1403795821">
          <w:marLeft w:val="806"/>
          <w:marRight w:val="0"/>
          <w:marTop w:val="134"/>
          <w:marBottom w:val="0"/>
          <w:divBdr>
            <w:top w:val="none" w:sz="0" w:space="0" w:color="auto"/>
            <w:left w:val="none" w:sz="0" w:space="0" w:color="auto"/>
            <w:bottom w:val="none" w:sz="0" w:space="0" w:color="auto"/>
            <w:right w:val="none" w:sz="0" w:space="0" w:color="auto"/>
          </w:divBdr>
        </w:div>
        <w:div w:id="1139151100">
          <w:marLeft w:val="806"/>
          <w:marRight w:val="0"/>
          <w:marTop w:val="134"/>
          <w:marBottom w:val="0"/>
          <w:divBdr>
            <w:top w:val="none" w:sz="0" w:space="0" w:color="auto"/>
            <w:left w:val="none" w:sz="0" w:space="0" w:color="auto"/>
            <w:bottom w:val="none" w:sz="0" w:space="0" w:color="auto"/>
            <w:right w:val="none" w:sz="0" w:space="0" w:color="auto"/>
          </w:divBdr>
        </w:div>
        <w:div w:id="500004583">
          <w:marLeft w:val="806"/>
          <w:marRight w:val="0"/>
          <w:marTop w:val="134"/>
          <w:marBottom w:val="0"/>
          <w:divBdr>
            <w:top w:val="none" w:sz="0" w:space="0" w:color="auto"/>
            <w:left w:val="none" w:sz="0" w:space="0" w:color="auto"/>
            <w:bottom w:val="none" w:sz="0" w:space="0" w:color="auto"/>
            <w:right w:val="none" w:sz="0" w:space="0" w:color="auto"/>
          </w:divBdr>
        </w:div>
      </w:divsChild>
    </w:div>
    <w:div w:id="748044489">
      <w:bodyDiv w:val="1"/>
      <w:marLeft w:val="0"/>
      <w:marRight w:val="0"/>
      <w:marTop w:val="0"/>
      <w:marBottom w:val="0"/>
      <w:divBdr>
        <w:top w:val="none" w:sz="0" w:space="0" w:color="auto"/>
        <w:left w:val="none" w:sz="0" w:space="0" w:color="auto"/>
        <w:bottom w:val="none" w:sz="0" w:space="0" w:color="auto"/>
        <w:right w:val="none" w:sz="0" w:space="0" w:color="auto"/>
      </w:divBdr>
    </w:div>
    <w:div w:id="1428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90.44.0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eg.wa.gov/RCW/default.aspx?cite=90.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Rebecca (ECY)</dc:creator>
  <cp:keywords/>
  <dc:description/>
  <cp:lastModifiedBy>Brown, Rebecca (ECY)</cp:lastModifiedBy>
  <cp:revision>3</cp:revision>
  <dcterms:created xsi:type="dcterms:W3CDTF">2019-04-25T14:37:00Z</dcterms:created>
  <dcterms:modified xsi:type="dcterms:W3CDTF">2019-04-30T18:28:00Z</dcterms:modified>
</cp:coreProperties>
</file>