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CDF" w:rsidRDefault="008E18E2">
      <w:r w:rsidRPr="0072046B">
        <w:rPr>
          <w:b/>
        </w:rPr>
        <w:t>To:</w:t>
      </w:r>
      <w:r>
        <w:t xml:space="preserve"> Puyallup-White (WRIA 10) Watershed Resto</w:t>
      </w:r>
      <w:r w:rsidR="00C77023">
        <w:t xml:space="preserve">ration and Enhancement </w:t>
      </w:r>
      <w:r w:rsidR="00862B0B">
        <w:t>Committee</w:t>
      </w:r>
    </w:p>
    <w:p w:rsidR="008E18E2" w:rsidRDefault="008E18E2">
      <w:r w:rsidRPr="0072046B">
        <w:rPr>
          <w:b/>
        </w:rPr>
        <w:t>From:</w:t>
      </w:r>
      <w:r>
        <w:t xml:space="preserve"> Rebecca Brown, Committee Chair</w:t>
      </w:r>
    </w:p>
    <w:p w:rsidR="008E18E2" w:rsidRDefault="008E18E2">
      <w:r w:rsidRPr="0072046B">
        <w:rPr>
          <w:b/>
        </w:rPr>
        <w:t>Date:</w:t>
      </w:r>
      <w:r w:rsidR="000B5180">
        <w:t xml:space="preserve"> February </w:t>
      </w:r>
      <w:r w:rsidR="00862B0B">
        <w:t>26</w:t>
      </w:r>
      <w:r w:rsidR="00C77023">
        <w:t>, 2020</w:t>
      </w:r>
    </w:p>
    <w:p w:rsidR="008E18E2" w:rsidRDefault="008E18E2">
      <w:r w:rsidRPr="0072046B">
        <w:rPr>
          <w:b/>
          <w:noProof/>
        </w:rPr>
        <mc:AlternateContent>
          <mc:Choice Requires="wps">
            <w:drawing>
              <wp:anchor distT="0" distB="0" distL="114300" distR="114300" simplePos="0" relativeHeight="251659264" behindDoc="0" locked="0" layoutInCell="1" allowOverlap="1">
                <wp:simplePos x="0" y="0"/>
                <wp:positionH relativeFrom="column">
                  <wp:posOffset>-723900</wp:posOffset>
                </wp:positionH>
                <wp:positionV relativeFrom="paragraph">
                  <wp:posOffset>267335</wp:posOffset>
                </wp:positionV>
                <wp:extent cx="7334250" cy="0"/>
                <wp:effectExtent l="0" t="0" r="19050" b="19050"/>
                <wp:wrapNone/>
                <wp:docPr id="1" name="Straight Connector 1" descr="decoratvie"/>
                <wp:cNvGraphicFramePr/>
                <a:graphic xmlns:a="http://schemas.openxmlformats.org/drawingml/2006/main">
                  <a:graphicData uri="http://schemas.microsoft.com/office/word/2010/wordprocessingShape">
                    <wps:wsp>
                      <wps:cNvCnPr/>
                      <wps:spPr>
                        <a:xfrm>
                          <a:off x="0" y="0"/>
                          <a:ext cx="7334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CE7EEC" id="Straight Connector 1" o:spid="_x0000_s1026" alt="decoratvi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pt,21.05pt" to="520.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" strokecolor="#5b9bd5 [3204]" strokeweight=".5pt">
                <v:stroke joinstyle="miter"/>
              </v:line>
            </w:pict>
          </mc:Fallback>
        </mc:AlternateContent>
      </w:r>
      <w:r w:rsidRPr="0072046B">
        <w:rPr>
          <w:b/>
        </w:rPr>
        <w:t>Re:</w:t>
      </w:r>
      <w:r w:rsidR="00862B0B">
        <w:t xml:space="preserve"> Consumptive Use Estimate Recommendation</w:t>
      </w:r>
    </w:p>
    <w:p w:rsidR="008E18E2" w:rsidRDefault="008E18E2"/>
    <w:p w:rsidR="00862B0B" w:rsidRPr="00862B0B" w:rsidRDefault="00862B0B">
      <w:pPr>
        <w:rPr>
          <w:b/>
        </w:rPr>
      </w:pPr>
      <w:r w:rsidRPr="00862B0B">
        <w:rPr>
          <w:b/>
        </w:rPr>
        <w:t xml:space="preserve">At the April 1, 2020 Watershed Restoration and Enhancement Committee meeting, the Chair will seek a formal decision on the 20-year consumptive water use estimate to be included in the plan. The consumptive water use estimate based on the workgroup recommendation for WRIA 10 is 277.4 acre-feet per year/0.38 cubic feet per second.  </w:t>
      </w:r>
    </w:p>
    <w:p w:rsidR="009F4362" w:rsidRPr="009F4362" w:rsidRDefault="00FA5E5E">
      <w:pPr>
        <w:rPr>
          <w:u w:val="single"/>
        </w:rPr>
      </w:pPr>
      <w:r>
        <w:rPr>
          <w:b/>
          <w:u w:val="single"/>
        </w:rPr>
        <w:t>Background</w:t>
      </w:r>
    </w:p>
    <w:p w:rsidR="008E18E2" w:rsidRDefault="008E18E2">
      <w:r>
        <w:t xml:space="preserve">The WRIA 10 </w:t>
      </w:r>
      <w:r w:rsidR="0072046B">
        <w:t xml:space="preserve">Watershed Restoration and Enhancement </w:t>
      </w:r>
      <w:r w:rsidR="00C77023">
        <w:t xml:space="preserve">Committee Chair will hold a vote on </w:t>
      </w:r>
      <w:r w:rsidR="009E01FE">
        <w:t>consumptive use e</w:t>
      </w:r>
      <w:r w:rsidR="0072046B">
        <w:t xml:space="preserve">stimates </w:t>
      </w:r>
      <w:r w:rsidR="00C77023">
        <w:t>at the April 1, 2020</w:t>
      </w:r>
      <w:r w:rsidR="009E01FE">
        <w:t xml:space="preserve"> c</w:t>
      </w:r>
      <w:r>
        <w:t xml:space="preserve">ommittee meeting. The committee </w:t>
      </w:r>
      <w:r w:rsidR="0072046B">
        <w:t xml:space="preserve">and workgroup </w:t>
      </w:r>
      <w:r w:rsidR="00C77023">
        <w:t>landed on a preliminary consumptive use estimate at the November 6, 2019</w:t>
      </w:r>
      <w:r w:rsidR="00454E8B">
        <w:t xml:space="preserve"> with an expectation that the workgroup would develop a recommendation to the committee in early 2020</w:t>
      </w:r>
      <w:r w:rsidR="0072046B">
        <w:t xml:space="preserve">. </w:t>
      </w:r>
      <w:r w:rsidR="00862B0B">
        <w:t xml:space="preserve">The workgroup met on February 19, 2020 to review the preliminary consumptive use estimate </w:t>
      </w:r>
      <w:r w:rsidR="00454E8B">
        <w:t xml:space="preserve">and make a recommendation for the </w:t>
      </w:r>
      <w:r w:rsidR="00454E8B" w:rsidRPr="00454E8B">
        <w:t>20-year consumptive water use estimate to be included in the plan.</w:t>
      </w:r>
    </w:p>
    <w:p w:rsidR="009F4362" w:rsidRPr="009F4362" w:rsidRDefault="00FA5E5E">
      <w:pPr>
        <w:rPr>
          <w:u w:val="single"/>
        </w:rPr>
      </w:pPr>
      <w:r>
        <w:rPr>
          <w:b/>
          <w:u w:val="single"/>
        </w:rPr>
        <w:t>PE Well Projections</w:t>
      </w:r>
    </w:p>
    <w:p w:rsidR="009F4362" w:rsidRPr="009F4362" w:rsidRDefault="00C77023">
      <w:pPr>
        <w:rPr>
          <w:i/>
        </w:rPr>
      </w:pPr>
      <w:r>
        <w:t>The committee moved forward using the moderate projection for PE domestic wells, which is 688 wells.</w:t>
      </w:r>
    </w:p>
    <w:p w:rsidR="00FA5E5E" w:rsidRPr="00FA5E5E" w:rsidRDefault="00FA5E5E">
      <w:pPr>
        <w:rPr>
          <w:b/>
          <w:u w:val="single"/>
        </w:rPr>
      </w:pPr>
      <w:r w:rsidRPr="00FA5E5E">
        <w:rPr>
          <w:b/>
          <w:u w:val="single"/>
        </w:rPr>
        <w:t>Consumptive Use Estimate</w:t>
      </w:r>
    </w:p>
    <w:p w:rsidR="006A15E0" w:rsidRDefault="006A15E0">
      <w:r>
        <w:t>On October 21, 2019, the workgroup discussed the consumptive use estimate, focusing on the outdoor irrigation analysis conducted by HDR. HDR provided their methodology and answered questions. HDR provided additional information on their methodology and statistics on a webinar on October 28, 2019</w:t>
      </w:r>
      <w:r w:rsidR="00861DFF">
        <w:t>.</w:t>
      </w:r>
      <w:r w:rsidR="008C4518" w:rsidRPr="008C4518">
        <w:t xml:space="preserve"> </w:t>
      </w:r>
    </w:p>
    <w:p w:rsidR="000B5180" w:rsidRDefault="00311B0E">
      <w:r>
        <w:t xml:space="preserve">HDR’s initial analysis yielded an average outdoor irrigation area of 0.17 acres. The analysis returned a large number of parcels </w:t>
      </w:r>
      <w:r w:rsidR="004124D8">
        <w:t>without detectable</w:t>
      </w:r>
      <w:r>
        <w:t xml:space="preserve"> outdoor irrigation. HDR used an arbitrary value of 0.05 acres to accou</w:t>
      </w:r>
      <w:r w:rsidR="00EB0D67">
        <w:t>nt for the outdoor water us</w:t>
      </w:r>
      <w:r w:rsidR="006D2FA7">
        <w:t xml:space="preserve">e that may occur but </w:t>
      </w:r>
      <w:proofErr w:type="gramStart"/>
      <w:r w:rsidR="004124D8">
        <w:t>was not detected</w:t>
      </w:r>
      <w:proofErr w:type="gramEnd"/>
      <w:r w:rsidR="00454E8B">
        <w:t xml:space="preserve"> in the analysis.</w:t>
      </w:r>
      <w:r w:rsidR="006D2FA7">
        <w:t xml:space="preserve"> </w:t>
      </w:r>
      <w:r w:rsidR="00454E8B">
        <w:t>Using</w:t>
      </w:r>
      <w:r w:rsidR="006D2FA7">
        <w:t xml:space="preserve"> the 0.05 value instead of zero yielded an average outdoor</w:t>
      </w:r>
      <w:r w:rsidR="00C46F9B">
        <w:t xml:space="preserve"> irrigation area of 0.20 acres. </w:t>
      </w:r>
      <w:r w:rsidR="004124D8">
        <w:t xml:space="preserve">From there, </w:t>
      </w:r>
      <w:r w:rsidR="00C46F9B">
        <w:t>HDR calculated the 95% Upper Confidence Level</w:t>
      </w:r>
      <w:r w:rsidR="00454E8B">
        <w:t xml:space="preserve"> (UCL)</w:t>
      </w:r>
      <w:r w:rsidR="00C46F9B">
        <w:t xml:space="preserve"> as 0.27 acres.</w:t>
      </w:r>
      <w:r w:rsidR="00C46F9B">
        <w:rPr>
          <w:rStyle w:val="FootnoteReference"/>
        </w:rPr>
        <w:footnoteReference w:id="1"/>
      </w:r>
      <w:r w:rsidR="00707E73" w:rsidRPr="00707E73">
        <w:t xml:space="preserve"> </w:t>
      </w:r>
    </w:p>
    <w:p w:rsidR="00FA5E5E" w:rsidRDefault="002038A1">
      <w:r>
        <w:t>C</w:t>
      </w:r>
      <w:r w:rsidR="00707E73">
        <w:t>oncerns remain</w:t>
      </w:r>
      <w:r w:rsidR="000B5180">
        <w:t>ed</w:t>
      </w:r>
      <w:r w:rsidR="00707E73">
        <w:t xml:space="preserve"> from WDFW and other entities regarding the sample size used to conduct the outdoor irrigation </w:t>
      </w:r>
      <w:proofErr w:type="gramStart"/>
      <w:r w:rsidR="00707E73">
        <w:t>analysis</w:t>
      </w:r>
      <w:r>
        <w:t>,</w:t>
      </w:r>
      <w:proofErr w:type="gramEnd"/>
      <w:r>
        <w:t xml:space="preserve"> and the use of 0.05 as the non-detect value</w:t>
      </w:r>
      <w:r w:rsidR="00707E73">
        <w:t>.</w:t>
      </w:r>
      <w:r w:rsidR="000B5180">
        <w:t xml:space="preserve"> Additional questions revolved around the different values returned from </w:t>
      </w:r>
      <w:proofErr w:type="spellStart"/>
      <w:r w:rsidR="000B5180">
        <w:t>GeoEngineers</w:t>
      </w:r>
      <w:proofErr w:type="spellEnd"/>
      <w:r w:rsidR="000B5180">
        <w:t xml:space="preserve"> work in WRIAs 7, 8, and 9. HDR and </w:t>
      </w:r>
      <w:proofErr w:type="spellStart"/>
      <w:r w:rsidR="000B5180">
        <w:t>GeoEngineers</w:t>
      </w:r>
      <w:proofErr w:type="spellEnd"/>
      <w:r w:rsidR="000B5180">
        <w:t xml:space="preserve"> checked each other’s work. </w:t>
      </w:r>
      <w:proofErr w:type="spellStart"/>
      <w:r w:rsidR="000B5180">
        <w:t>GeoEngineers</w:t>
      </w:r>
      <w:proofErr w:type="spellEnd"/>
      <w:r w:rsidR="000B5180">
        <w:t xml:space="preserve"> analyzed 10 parcels from WRIA 10, and HDR analyzed 10 parcels from WRIA 9.</w:t>
      </w:r>
    </w:p>
    <w:p w:rsidR="000B5180" w:rsidRDefault="000B5180">
      <w:r>
        <w:lastRenderedPageBreak/>
        <w:t>At the November 6</w:t>
      </w:r>
      <w:r w:rsidR="0042193C">
        <w:t>, 2019</w:t>
      </w:r>
      <w:r>
        <w:t xml:space="preserve"> full committee meeting, the committee agreed to a preliminary consumptive use estimate using the outdoor irrigation area of 0.27 acres</w:t>
      </w:r>
      <w:r w:rsidR="00454E8B">
        <w:t>. The reason behind using the 95% UCL was that the outdoor irrigation area was unlikely to be higher than the 95% UCL.</w:t>
      </w:r>
    </w:p>
    <w:p w:rsidR="00454E8B" w:rsidRDefault="00454E8B">
      <w:r>
        <w:t>The committee used the following inputs to estimate the consumptive use in WRIA 10:</w:t>
      </w:r>
    </w:p>
    <w:p w:rsidR="00454E8B" w:rsidRDefault="00454E8B" w:rsidP="004124D8">
      <w:pPr>
        <w:pStyle w:val="ListParagraph"/>
        <w:numPr>
          <w:ilvl w:val="0"/>
          <w:numId w:val="3"/>
        </w:numPr>
      </w:pPr>
      <w:r>
        <w:t>Outdoor irrigation area based on 95% UCL (0.27 acres).</w:t>
      </w:r>
    </w:p>
    <w:p w:rsidR="004124D8" w:rsidRDefault="004124D8" w:rsidP="004124D8">
      <w:pPr>
        <w:pStyle w:val="ListParagraph"/>
        <w:numPr>
          <w:ilvl w:val="0"/>
          <w:numId w:val="3"/>
        </w:numPr>
      </w:pPr>
      <w:r>
        <w:t>Average irrigation requirement based on Washington Irrigation Guide (16.1 inches/year).</w:t>
      </w:r>
    </w:p>
    <w:p w:rsidR="004124D8" w:rsidRDefault="004124D8" w:rsidP="004124D8">
      <w:pPr>
        <w:pStyle w:val="ListParagraph"/>
        <w:numPr>
          <w:ilvl w:val="0"/>
          <w:numId w:val="3"/>
        </w:numPr>
      </w:pPr>
      <w:r>
        <w:t>Irrigation efficiency (75%)</w:t>
      </w:r>
      <w:r w:rsidR="00880E98">
        <w:t>.</w:t>
      </w:r>
    </w:p>
    <w:p w:rsidR="004124D8" w:rsidRDefault="004124D8" w:rsidP="004124D8">
      <w:pPr>
        <w:pStyle w:val="ListParagraph"/>
        <w:numPr>
          <w:ilvl w:val="0"/>
          <w:numId w:val="3"/>
        </w:numPr>
      </w:pPr>
      <w:r>
        <w:t>Outdoor consumptive use (80%)</w:t>
      </w:r>
      <w:r w:rsidR="00880E98">
        <w:t>.</w:t>
      </w:r>
    </w:p>
    <w:p w:rsidR="004124D8" w:rsidRDefault="004124D8" w:rsidP="004124D8">
      <w:pPr>
        <w:pStyle w:val="ListParagraph"/>
        <w:numPr>
          <w:ilvl w:val="0"/>
          <w:numId w:val="3"/>
        </w:numPr>
      </w:pPr>
      <w:r>
        <w:t>Indoor use (60 gal/day/person)</w:t>
      </w:r>
      <w:r w:rsidR="00880E98">
        <w:t>.</w:t>
      </w:r>
    </w:p>
    <w:p w:rsidR="004124D8" w:rsidRDefault="004124D8" w:rsidP="004124D8">
      <w:pPr>
        <w:pStyle w:val="ListParagraph"/>
        <w:numPr>
          <w:ilvl w:val="0"/>
          <w:numId w:val="3"/>
        </w:numPr>
      </w:pPr>
      <w:r>
        <w:t>Indoor consumptive use (10%)</w:t>
      </w:r>
      <w:r w:rsidR="00880E98">
        <w:t>.</w:t>
      </w:r>
    </w:p>
    <w:p w:rsidR="00880E98" w:rsidRDefault="004124D8" w:rsidP="00880E98">
      <w:pPr>
        <w:pStyle w:val="ListParagraph"/>
        <w:numPr>
          <w:ilvl w:val="0"/>
          <w:numId w:val="3"/>
        </w:numPr>
      </w:pPr>
      <w:r>
        <w:t>Average persons per household (2.5 people)</w:t>
      </w:r>
      <w:r w:rsidR="00880E98">
        <w:t>.</w:t>
      </w:r>
    </w:p>
    <w:p w:rsidR="002038A1" w:rsidRDefault="002038A1" w:rsidP="00880E98">
      <w:pPr>
        <w:pStyle w:val="ListParagraph"/>
        <w:numPr>
          <w:ilvl w:val="0"/>
          <w:numId w:val="3"/>
        </w:numPr>
      </w:pPr>
      <w:r>
        <w:t>PE well projection (moderate projection: 688).</w:t>
      </w:r>
    </w:p>
    <w:p w:rsidR="000B5180" w:rsidRDefault="000B5180" w:rsidP="000B5180">
      <w:r>
        <w:t xml:space="preserve">The preliminary consumptive use estimate the committee agreed to use is 0.38 </w:t>
      </w:r>
      <w:proofErr w:type="spellStart"/>
      <w:r>
        <w:t>cfs</w:t>
      </w:r>
      <w:proofErr w:type="spellEnd"/>
      <w:r>
        <w:t xml:space="preserve"> and 277.4 </w:t>
      </w:r>
      <w:proofErr w:type="spellStart"/>
      <w:r>
        <w:t>afy</w:t>
      </w:r>
      <w:proofErr w:type="spellEnd"/>
      <w:r>
        <w:t xml:space="preserve">. The committee agreed to make a final consumptive use decision </w:t>
      </w:r>
      <w:r w:rsidR="00127FAE">
        <w:t xml:space="preserve">after results from the </w:t>
      </w:r>
      <w:proofErr w:type="spellStart"/>
      <w:r w:rsidR="00127FAE">
        <w:t>GeoEngineers</w:t>
      </w:r>
      <w:proofErr w:type="spellEnd"/>
      <w:r w:rsidR="00127FAE">
        <w:t xml:space="preserve">/HDR </w:t>
      </w:r>
      <w:proofErr w:type="gramStart"/>
      <w:r w:rsidR="00127FAE">
        <w:t>cross-check</w:t>
      </w:r>
      <w:proofErr w:type="gramEnd"/>
      <w:r w:rsidR="00127FAE">
        <w:t xml:space="preserve"> were available, and after we had more information on the other questions and concerns.</w:t>
      </w:r>
    </w:p>
    <w:p w:rsidR="002D3110" w:rsidRDefault="00127FAE" w:rsidP="002D3110">
      <w:r w:rsidRPr="00127FAE">
        <w:rPr>
          <w:b/>
        </w:rPr>
        <w:t>Outstanding Questions:</w:t>
      </w:r>
      <w:r>
        <w:t xml:space="preserve"> The committee had several outstanding questions about the consumptive use estimate. The responses to these questions </w:t>
      </w:r>
      <w:proofErr w:type="gramStart"/>
      <w:r>
        <w:t>are listed</w:t>
      </w:r>
      <w:proofErr w:type="gramEnd"/>
      <w:r>
        <w:t xml:space="preserve"> below:</w:t>
      </w:r>
    </w:p>
    <w:p w:rsidR="002D3110" w:rsidRDefault="002D3110" w:rsidP="00127FAE">
      <w:pPr>
        <w:pStyle w:val="ListParagraph"/>
        <w:numPr>
          <w:ilvl w:val="0"/>
          <w:numId w:val="4"/>
        </w:numPr>
      </w:pPr>
      <w:r>
        <w:t>What is the consumptive use of the legal limit for comparison?</w:t>
      </w:r>
    </w:p>
    <w:p w:rsidR="002D3110" w:rsidRDefault="002D3110" w:rsidP="002D3110">
      <w:pPr>
        <w:pStyle w:val="ListParagraph"/>
        <w:numPr>
          <w:ilvl w:val="1"/>
          <w:numId w:val="4"/>
        </w:numPr>
      </w:pPr>
      <w:r>
        <w:t xml:space="preserve">See the </w:t>
      </w:r>
      <w:hyperlink r:id="rId8" w:history="1">
        <w:r w:rsidRPr="002D3110">
          <w:rPr>
            <w:rStyle w:val="Hyperlink"/>
          </w:rPr>
          <w:t>updated CU Calculator</w:t>
        </w:r>
      </w:hyperlink>
      <w:r>
        <w:t>.</w:t>
      </w:r>
    </w:p>
    <w:p w:rsidR="00127FAE" w:rsidRDefault="00127FAE" w:rsidP="00127FAE">
      <w:pPr>
        <w:pStyle w:val="ListParagraph"/>
        <w:numPr>
          <w:ilvl w:val="0"/>
          <w:numId w:val="4"/>
        </w:numPr>
      </w:pPr>
      <w:r>
        <w:t xml:space="preserve">What are the results from the HDR and </w:t>
      </w:r>
      <w:proofErr w:type="spellStart"/>
      <w:r>
        <w:t>GeoEngineers</w:t>
      </w:r>
      <w:proofErr w:type="spellEnd"/>
      <w:r>
        <w:t xml:space="preserve"> review?</w:t>
      </w:r>
    </w:p>
    <w:p w:rsidR="00127FAE" w:rsidRDefault="00127FAE" w:rsidP="00127FAE">
      <w:pPr>
        <w:pStyle w:val="ListParagraph"/>
        <w:numPr>
          <w:ilvl w:val="1"/>
          <w:numId w:val="4"/>
        </w:numPr>
      </w:pPr>
      <w:r>
        <w:t xml:space="preserve">Both </w:t>
      </w:r>
      <w:proofErr w:type="spellStart"/>
      <w:r>
        <w:t>GeoEngineers</w:t>
      </w:r>
      <w:proofErr w:type="spellEnd"/>
      <w:r>
        <w:t xml:space="preserve"> and HDR stand by their work and each other’s work.</w:t>
      </w:r>
    </w:p>
    <w:p w:rsidR="00127FAE" w:rsidRPr="00127FAE" w:rsidRDefault="00127FAE" w:rsidP="00127FAE">
      <w:pPr>
        <w:pStyle w:val="ListParagraph"/>
        <w:numPr>
          <w:ilvl w:val="1"/>
          <w:numId w:val="4"/>
        </w:numPr>
      </w:pPr>
      <w:r w:rsidRPr="00127FAE">
        <w:t>People do not water their lawns at the rate required for turf grass, so differences between watered and not watered lawns are difficult to discern, which led to some differences in interpretation by individual analysts.</w:t>
      </w:r>
    </w:p>
    <w:p w:rsidR="00127FAE" w:rsidRDefault="00127FAE" w:rsidP="00127FAE">
      <w:pPr>
        <w:pStyle w:val="ListParagraph"/>
        <w:numPr>
          <w:ilvl w:val="1"/>
          <w:numId w:val="4"/>
        </w:numPr>
      </w:pPr>
      <w:r>
        <w:t xml:space="preserve">Their </w:t>
      </w:r>
      <w:hyperlink r:id="rId9" w:history="1">
        <w:r w:rsidRPr="00127FAE">
          <w:rPr>
            <w:rStyle w:val="Hyperlink"/>
          </w:rPr>
          <w:t>full report</w:t>
        </w:r>
      </w:hyperlink>
      <w:r>
        <w:t xml:space="preserve"> is available on Box.</w:t>
      </w:r>
    </w:p>
    <w:p w:rsidR="00127FAE" w:rsidRDefault="00127FAE" w:rsidP="00127FAE">
      <w:pPr>
        <w:pStyle w:val="ListParagraph"/>
        <w:numPr>
          <w:ilvl w:val="0"/>
          <w:numId w:val="4"/>
        </w:numPr>
      </w:pPr>
      <w:r>
        <w:t xml:space="preserve">How </w:t>
      </w:r>
      <w:r w:rsidR="008B449B">
        <w:t>h</w:t>
      </w:r>
      <w:r>
        <w:t>as HDR responded to WDFW’s concerns on sample size</w:t>
      </w:r>
      <w:r w:rsidR="00454E8B">
        <w:t>/methodology</w:t>
      </w:r>
      <w:r>
        <w:t>?</w:t>
      </w:r>
    </w:p>
    <w:p w:rsidR="00454E8B" w:rsidRDefault="00127FAE" w:rsidP="00127FAE">
      <w:pPr>
        <w:pStyle w:val="ListParagraph"/>
        <w:numPr>
          <w:ilvl w:val="1"/>
          <w:numId w:val="4"/>
        </w:numPr>
      </w:pPr>
      <w:r>
        <w:t>HDR sent WDFW a number of statistical analyses on the outdoor irrigation analysis as requested by WDFW.</w:t>
      </w:r>
      <w:r w:rsidR="00454E8B">
        <w:t xml:space="preserve"> </w:t>
      </w:r>
    </w:p>
    <w:p w:rsidR="00127FAE" w:rsidRDefault="00454E8B" w:rsidP="00127FAE">
      <w:pPr>
        <w:pStyle w:val="ListParagraph"/>
        <w:numPr>
          <w:ilvl w:val="1"/>
          <w:numId w:val="4"/>
        </w:numPr>
      </w:pPr>
      <w:r>
        <w:t>WDFW has stated that the additional statistics did not address their concerns.</w:t>
      </w:r>
    </w:p>
    <w:p w:rsidR="00454E8B" w:rsidRDefault="00A1386F" w:rsidP="00127FAE">
      <w:pPr>
        <w:pStyle w:val="ListParagraph"/>
        <w:numPr>
          <w:ilvl w:val="1"/>
          <w:numId w:val="4"/>
        </w:numPr>
      </w:pPr>
      <w:r>
        <w:t>WDFW emphasized the importance of offset projects in the plan. Their concern with the methodology of the outdoor irrigation analysis will not jeopardize their support of the plan as a whole.</w:t>
      </w:r>
    </w:p>
    <w:p w:rsidR="00127FAE" w:rsidRDefault="00127FAE" w:rsidP="00127FAE">
      <w:pPr>
        <w:pStyle w:val="ListParagraph"/>
        <w:numPr>
          <w:ilvl w:val="0"/>
          <w:numId w:val="4"/>
        </w:numPr>
      </w:pPr>
      <w:r>
        <w:t>Is there a more scientific approach to addressing the non-detect values, rather than using an arbitrary 0.05 acres?</w:t>
      </w:r>
    </w:p>
    <w:p w:rsidR="0086388F" w:rsidRDefault="00A1386F" w:rsidP="0086388F">
      <w:pPr>
        <w:pStyle w:val="ListParagraph"/>
        <w:numPr>
          <w:ilvl w:val="1"/>
          <w:numId w:val="4"/>
        </w:numPr>
      </w:pPr>
      <w:r>
        <w:t>HDR</w:t>
      </w:r>
      <w:r w:rsidR="0086388F" w:rsidRPr="0086388F">
        <w:t xml:space="preserve"> calculate</w:t>
      </w:r>
      <w:r w:rsidR="0086388F">
        <w:t>d</w:t>
      </w:r>
      <w:r w:rsidR="0086388F" w:rsidRPr="0086388F">
        <w:t xml:space="preserve"> the minimum and </w:t>
      </w:r>
      <w:proofErr w:type="gramStart"/>
      <w:r w:rsidR="0086388F" w:rsidRPr="0086388F">
        <w:t>5th</w:t>
      </w:r>
      <w:proofErr w:type="gramEnd"/>
      <w:r w:rsidR="0086388F" w:rsidRPr="0086388F">
        <w:t xml:space="preserve"> percentile values of the delineated parcels </w:t>
      </w:r>
      <w:r w:rsidR="002558AD">
        <w:t>with a detected</w:t>
      </w:r>
      <w:r w:rsidR="0086388F" w:rsidRPr="0086388F">
        <w:t xml:space="preserve"> irrigated area. </w:t>
      </w:r>
      <w:r>
        <w:t xml:space="preserve">The tables below show the minimum size (0.04 acres) and </w:t>
      </w:r>
      <w:proofErr w:type="gramStart"/>
      <w:r>
        <w:t>5</w:t>
      </w:r>
      <w:r w:rsidRPr="00A1386F">
        <w:rPr>
          <w:vertAlign w:val="superscript"/>
        </w:rPr>
        <w:t>th</w:t>
      </w:r>
      <w:proofErr w:type="gramEnd"/>
      <w:r>
        <w:t xml:space="preserve"> percentile (0.06 acres)</w:t>
      </w:r>
      <w:r w:rsidR="002558AD">
        <w:t xml:space="preserve"> of detected irrigated areas in WRIA 10 and across the five South Sound watersheds. The average </w:t>
      </w:r>
      <w:proofErr w:type="gramStart"/>
      <w:r w:rsidR="002558AD">
        <w:t>5</w:t>
      </w:r>
      <w:r w:rsidR="002558AD" w:rsidRPr="002558AD">
        <w:rPr>
          <w:vertAlign w:val="superscript"/>
        </w:rPr>
        <w:t>th</w:t>
      </w:r>
      <w:proofErr w:type="gramEnd"/>
      <w:r w:rsidR="002558AD">
        <w:t xml:space="preserve"> percentile across all five watersheds is 0.03 acres.</w:t>
      </w:r>
    </w:p>
    <w:p w:rsidR="002558AD" w:rsidRPr="0086388F" w:rsidRDefault="002558AD" w:rsidP="002558AD">
      <w:pPr>
        <w:pStyle w:val="ListParagraph"/>
        <w:ind w:left="1440"/>
      </w:pPr>
    </w:p>
    <w:tbl>
      <w:tblPr>
        <w:tblW w:w="8560" w:type="dxa"/>
        <w:tblInd w:w="-1" w:type="dxa"/>
        <w:tblCellMar>
          <w:left w:w="0" w:type="dxa"/>
          <w:right w:w="0" w:type="dxa"/>
        </w:tblCellMar>
        <w:tblLook w:val="04A0" w:firstRow="1" w:lastRow="0" w:firstColumn="1" w:lastColumn="0" w:noHBand="0" w:noVBand="1"/>
      </w:tblPr>
      <w:tblGrid>
        <w:gridCol w:w="2800"/>
        <w:gridCol w:w="960"/>
        <w:gridCol w:w="960"/>
        <w:gridCol w:w="960"/>
        <w:gridCol w:w="960"/>
        <w:gridCol w:w="960"/>
        <w:gridCol w:w="960"/>
      </w:tblGrid>
      <w:tr w:rsidR="0086388F" w:rsidTr="0086388F">
        <w:trPr>
          <w:trHeight w:val="288"/>
        </w:trPr>
        <w:tc>
          <w:tcPr>
            <w:tcW w:w="2800"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86388F" w:rsidRDefault="0086388F">
            <w:pPr>
              <w:rPr>
                <w:b/>
                <w:bCs/>
                <w:color w:val="000000"/>
              </w:rPr>
            </w:pPr>
            <w:r>
              <w:rPr>
                <w:b/>
                <w:bCs/>
                <w:color w:val="000000"/>
              </w:rPr>
              <w:t>Statistic</w:t>
            </w:r>
          </w:p>
        </w:tc>
        <w:tc>
          <w:tcPr>
            <w:tcW w:w="960"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86388F" w:rsidRDefault="0086388F">
            <w:pPr>
              <w:jc w:val="center"/>
              <w:rPr>
                <w:b/>
                <w:bCs/>
                <w:color w:val="000000"/>
              </w:rPr>
            </w:pPr>
            <w:r>
              <w:rPr>
                <w:b/>
                <w:bCs/>
                <w:color w:val="000000"/>
              </w:rPr>
              <w:t>WRIA 10</w:t>
            </w:r>
          </w:p>
        </w:tc>
        <w:tc>
          <w:tcPr>
            <w:tcW w:w="960"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86388F" w:rsidRDefault="0086388F">
            <w:pPr>
              <w:jc w:val="center"/>
              <w:rPr>
                <w:b/>
                <w:bCs/>
                <w:color w:val="000000"/>
              </w:rPr>
            </w:pPr>
            <w:r>
              <w:rPr>
                <w:b/>
                <w:bCs/>
                <w:color w:val="000000"/>
              </w:rPr>
              <w:t>WRIA 12</w:t>
            </w:r>
          </w:p>
        </w:tc>
        <w:tc>
          <w:tcPr>
            <w:tcW w:w="960"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86388F" w:rsidRDefault="0086388F">
            <w:pPr>
              <w:jc w:val="center"/>
              <w:rPr>
                <w:b/>
                <w:bCs/>
                <w:color w:val="000000"/>
              </w:rPr>
            </w:pPr>
            <w:r>
              <w:rPr>
                <w:b/>
                <w:bCs/>
                <w:color w:val="000000"/>
              </w:rPr>
              <w:t>WRIA 13</w:t>
            </w:r>
          </w:p>
        </w:tc>
        <w:tc>
          <w:tcPr>
            <w:tcW w:w="960"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86388F" w:rsidRDefault="0086388F">
            <w:pPr>
              <w:jc w:val="center"/>
              <w:rPr>
                <w:b/>
                <w:bCs/>
                <w:color w:val="000000"/>
              </w:rPr>
            </w:pPr>
            <w:r>
              <w:rPr>
                <w:b/>
                <w:bCs/>
                <w:color w:val="000000"/>
              </w:rPr>
              <w:t>WRIA 14</w:t>
            </w:r>
          </w:p>
        </w:tc>
        <w:tc>
          <w:tcPr>
            <w:tcW w:w="960"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86388F" w:rsidRDefault="0086388F">
            <w:pPr>
              <w:jc w:val="center"/>
              <w:rPr>
                <w:b/>
                <w:bCs/>
                <w:color w:val="000000"/>
              </w:rPr>
            </w:pPr>
            <w:r>
              <w:rPr>
                <w:b/>
                <w:bCs/>
                <w:color w:val="000000"/>
              </w:rPr>
              <w:t>WRIA 15</w:t>
            </w:r>
          </w:p>
        </w:tc>
        <w:tc>
          <w:tcPr>
            <w:tcW w:w="960"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86388F" w:rsidRDefault="0086388F">
            <w:pPr>
              <w:jc w:val="center"/>
              <w:rPr>
                <w:b/>
                <w:bCs/>
                <w:color w:val="000000"/>
              </w:rPr>
            </w:pPr>
            <w:r>
              <w:rPr>
                <w:b/>
                <w:bCs/>
                <w:color w:val="000000"/>
              </w:rPr>
              <w:t>All</w:t>
            </w:r>
          </w:p>
        </w:tc>
      </w:tr>
      <w:tr w:rsidR="0086388F" w:rsidTr="0086388F">
        <w:trPr>
          <w:trHeight w:val="288"/>
        </w:trPr>
        <w:tc>
          <w:tcPr>
            <w:tcW w:w="28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6388F" w:rsidRDefault="0086388F">
            <w:pPr>
              <w:rPr>
                <w:color w:val="000000"/>
              </w:rPr>
            </w:pPr>
            <w:r>
              <w:rPr>
                <w:color w:val="000000"/>
              </w:rPr>
              <w:t>Number of Detected Acreages</w:t>
            </w:r>
            <w:bookmarkStart w:id="0" w:name="_GoBack"/>
            <w:bookmarkEnd w:id="0"/>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6388F" w:rsidRDefault="0086388F">
            <w:pPr>
              <w:jc w:val="center"/>
              <w:rPr>
                <w:color w:val="000000"/>
              </w:rPr>
            </w:pPr>
            <w:r>
              <w:rPr>
                <w:color w:val="000000"/>
              </w:rPr>
              <w:t>37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6388F" w:rsidRDefault="0086388F">
            <w:pPr>
              <w:jc w:val="center"/>
              <w:rPr>
                <w:color w:val="000000"/>
              </w:rPr>
            </w:pPr>
            <w:r>
              <w:rPr>
                <w:color w:val="000000"/>
              </w:rPr>
              <w:t>48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6388F" w:rsidRDefault="0086388F">
            <w:pPr>
              <w:jc w:val="center"/>
              <w:rPr>
                <w:color w:val="000000"/>
              </w:rPr>
            </w:pPr>
            <w:r>
              <w:rPr>
                <w:color w:val="000000"/>
              </w:rPr>
              <w:t>31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6388F" w:rsidRDefault="0086388F">
            <w:pPr>
              <w:jc w:val="center"/>
              <w:rPr>
                <w:color w:val="000000"/>
              </w:rPr>
            </w:pPr>
            <w:r>
              <w:rPr>
                <w:color w:val="000000"/>
              </w:rPr>
              <w:t>31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6388F" w:rsidRDefault="0086388F">
            <w:pPr>
              <w:jc w:val="center"/>
              <w:rPr>
                <w:color w:val="000000"/>
              </w:rPr>
            </w:pPr>
            <w:r>
              <w:rPr>
                <w:color w:val="000000"/>
              </w:rPr>
              <w:t>36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6388F" w:rsidRDefault="0086388F">
            <w:pPr>
              <w:jc w:val="center"/>
              <w:rPr>
                <w:color w:val="000000"/>
              </w:rPr>
            </w:pPr>
            <w:r>
              <w:rPr>
                <w:color w:val="000000"/>
              </w:rPr>
              <w:t>183</w:t>
            </w:r>
          </w:p>
        </w:tc>
      </w:tr>
      <w:tr w:rsidR="0086388F" w:rsidTr="0086388F">
        <w:trPr>
          <w:trHeight w:val="288"/>
        </w:trPr>
        <w:tc>
          <w:tcPr>
            <w:tcW w:w="28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6388F" w:rsidRDefault="0086388F">
            <w:pPr>
              <w:rPr>
                <w:color w:val="000000"/>
              </w:rPr>
            </w:pPr>
            <w:r>
              <w:rPr>
                <w:color w:val="000000"/>
              </w:rPr>
              <w:t>Minimum (acres)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6388F" w:rsidRDefault="0086388F">
            <w:pPr>
              <w:jc w:val="center"/>
              <w:rPr>
                <w:color w:val="000000"/>
              </w:rPr>
            </w:pPr>
            <w:r>
              <w:rPr>
                <w:color w:val="000000"/>
              </w:rPr>
              <w:t>0.04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6388F" w:rsidRDefault="0086388F">
            <w:pPr>
              <w:jc w:val="center"/>
              <w:rPr>
                <w:color w:val="000000"/>
              </w:rPr>
            </w:pPr>
            <w:r>
              <w:rPr>
                <w:color w:val="000000"/>
              </w:rPr>
              <w:t>0.02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6388F" w:rsidRDefault="0086388F">
            <w:pPr>
              <w:jc w:val="center"/>
              <w:rPr>
                <w:color w:val="000000"/>
              </w:rPr>
            </w:pPr>
            <w:r>
              <w:rPr>
                <w:color w:val="000000"/>
              </w:rPr>
              <w:t>0.01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6388F" w:rsidRDefault="0086388F">
            <w:pPr>
              <w:jc w:val="center"/>
              <w:rPr>
                <w:color w:val="000000"/>
              </w:rPr>
            </w:pPr>
            <w:r>
              <w:rPr>
                <w:color w:val="000000"/>
              </w:rPr>
              <w:t>0.03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6388F" w:rsidRDefault="0086388F">
            <w:pPr>
              <w:jc w:val="center"/>
              <w:rPr>
                <w:color w:val="000000"/>
              </w:rPr>
            </w:pPr>
            <w:r>
              <w:rPr>
                <w:color w:val="000000"/>
              </w:rPr>
              <w:t>0.02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6388F" w:rsidRDefault="0086388F">
            <w:pPr>
              <w:jc w:val="center"/>
              <w:rPr>
                <w:color w:val="000000"/>
              </w:rPr>
            </w:pPr>
            <w:r>
              <w:rPr>
                <w:color w:val="000000"/>
              </w:rPr>
              <w:t>0.01</w:t>
            </w:r>
          </w:p>
        </w:tc>
      </w:tr>
      <w:tr w:rsidR="0086388F" w:rsidTr="0086388F">
        <w:trPr>
          <w:trHeight w:val="288"/>
        </w:trPr>
        <w:tc>
          <w:tcPr>
            <w:tcW w:w="28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86388F" w:rsidRDefault="0086388F">
            <w:pPr>
              <w:rPr>
                <w:color w:val="000000"/>
              </w:rPr>
            </w:pPr>
            <w:r>
              <w:rPr>
                <w:color w:val="000000"/>
              </w:rPr>
              <w:t>5th Percentile (acres)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6388F" w:rsidRDefault="0086388F">
            <w:pPr>
              <w:jc w:val="center"/>
              <w:rPr>
                <w:color w:val="000000"/>
              </w:rPr>
            </w:pPr>
            <w:r>
              <w:rPr>
                <w:color w:val="000000"/>
              </w:rPr>
              <w:t>0.06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6388F" w:rsidRDefault="0086388F">
            <w:pPr>
              <w:jc w:val="center"/>
              <w:rPr>
                <w:color w:val="000000"/>
              </w:rPr>
            </w:pPr>
            <w:r>
              <w:rPr>
                <w:color w:val="000000"/>
              </w:rPr>
              <w:t>0.03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6388F" w:rsidRDefault="0086388F">
            <w:pPr>
              <w:jc w:val="center"/>
              <w:rPr>
                <w:color w:val="000000"/>
              </w:rPr>
            </w:pPr>
            <w:r>
              <w:rPr>
                <w:color w:val="000000"/>
              </w:rPr>
              <w:t>0.03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6388F" w:rsidRDefault="0086388F">
            <w:pPr>
              <w:jc w:val="center"/>
              <w:rPr>
                <w:color w:val="000000"/>
              </w:rPr>
            </w:pPr>
            <w:r>
              <w:rPr>
                <w:color w:val="000000"/>
              </w:rPr>
              <w:t>0.03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6388F" w:rsidRDefault="0086388F">
            <w:pPr>
              <w:jc w:val="center"/>
              <w:rPr>
                <w:color w:val="000000"/>
              </w:rPr>
            </w:pPr>
            <w:r>
              <w:rPr>
                <w:color w:val="000000"/>
              </w:rPr>
              <w:t>0.02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86388F" w:rsidRDefault="0086388F">
            <w:pPr>
              <w:jc w:val="center"/>
              <w:rPr>
                <w:color w:val="000000"/>
              </w:rPr>
            </w:pPr>
            <w:r>
              <w:rPr>
                <w:color w:val="000000"/>
              </w:rPr>
              <w:t>0.03</w:t>
            </w:r>
          </w:p>
        </w:tc>
      </w:tr>
    </w:tbl>
    <w:p w:rsidR="009B4ED7" w:rsidRDefault="009B4ED7" w:rsidP="0086388F">
      <w:pPr>
        <w:pStyle w:val="ListParagraph"/>
        <w:ind w:left="1440"/>
      </w:pPr>
    </w:p>
    <w:p w:rsidR="009B4ED7" w:rsidRDefault="00B714D0" w:rsidP="0042193C">
      <w:pPr>
        <w:pStyle w:val="ListParagraph"/>
        <w:numPr>
          <w:ilvl w:val="1"/>
          <w:numId w:val="6"/>
        </w:numPr>
        <w:ind w:left="1440"/>
      </w:pPr>
      <w:r>
        <w:t xml:space="preserve">HDR calculated the mean and 95% </w:t>
      </w:r>
      <w:r w:rsidR="002558AD">
        <w:t>UCL</w:t>
      </w:r>
      <w:r>
        <w:t xml:space="preserve"> </w:t>
      </w:r>
      <w:r w:rsidR="002558AD">
        <w:t>substituting</w:t>
      </w:r>
      <w:r>
        <w:t xml:space="preserve"> </w:t>
      </w:r>
      <w:r w:rsidR="002558AD">
        <w:t>the South Sound 5</w:t>
      </w:r>
      <w:r w:rsidR="002558AD" w:rsidRPr="002558AD">
        <w:rPr>
          <w:vertAlign w:val="superscript"/>
        </w:rPr>
        <w:t>th</w:t>
      </w:r>
      <w:r w:rsidR="002558AD">
        <w:t xml:space="preserve"> percentile, the arbitrary 0.05 acres, and the WRIA 10 </w:t>
      </w:r>
      <w:proofErr w:type="gramStart"/>
      <w:r w:rsidR="002558AD">
        <w:t>5</w:t>
      </w:r>
      <w:r w:rsidR="002558AD" w:rsidRPr="002558AD">
        <w:rPr>
          <w:vertAlign w:val="superscript"/>
        </w:rPr>
        <w:t>th</w:t>
      </w:r>
      <w:proofErr w:type="gramEnd"/>
      <w:r w:rsidR="002558AD">
        <w:t xml:space="preserve"> percentile </w:t>
      </w:r>
      <w:r>
        <w:t>for the non-detect values for comparison.</w:t>
      </w:r>
    </w:p>
    <w:tbl>
      <w:tblPr>
        <w:tblW w:w="7040" w:type="dxa"/>
        <w:tblInd w:w="-3" w:type="dxa"/>
        <w:tblCellMar>
          <w:left w:w="0" w:type="dxa"/>
          <w:right w:w="0" w:type="dxa"/>
        </w:tblCellMar>
        <w:tblLook w:val="04A0" w:firstRow="1" w:lastRow="0" w:firstColumn="1" w:lastColumn="0" w:noHBand="0" w:noVBand="1"/>
      </w:tblPr>
      <w:tblGrid>
        <w:gridCol w:w="3840"/>
        <w:gridCol w:w="2240"/>
        <w:gridCol w:w="960"/>
      </w:tblGrid>
      <w:tr w:rsidR="009B4ED7" w:rsidTr="009B4ED7">
        <w:trPr>
          <w:trHeight w:val="300"/>
        </w:trPr>
        <w:tc>
          <w:tcPr>
            <w:tcW w:w="3840"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9B4ED7" w:rsidRDefault="009B4ED7">
            <w:pPr>
              <w:rPr>
                <w:b/>
                <w:bCs/>
                <w:color w:val="000000"/>
              </w:rPr>
            </w:pPr>
            <w:r>
              <w:rPr>
                <w:b/>
                <w:bCs/>
                <w:color w:val="000000"/>
              </w:rPr>
              <w:t>Statistic</w:t>
            </w:r>
          </w:p>
        </w:tc>
        <w:tc>
          <w:tcPr>
            <w:tcW w:w="2240"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9B4ED7" w:rsidRDefault="009B4ED7">
            <w:pPr>
              <w:rPr>
                <w:b/>
                <w:bCs/>
                <w:color w:val="000000"/>
              </w:rPr>
            </w:pPr>
            <w:r>
              <w:rPr>
                <w:b/>
                <w:bCs/>
                <w:color w:val="000000"/>
              </w:rPr>
              <w:t>95% UCL Distribution</w:t>
            </w:r>
          </w:p>
        </w:tc>
        <w:tc>
          <w:tcPr>
            <w:tcW w:w="960"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9B4ED7" w:rsidRDefault="009B4ED7">
            <w:pPr>
              <w:jc w:val="center"/>
              <w:rPr>
                <w:b/>
                <w:bCs/>
                <w:color w:val="000000"/>
              </w:rPr>
            </w:pPr>
            <w:r>
              <w:rPr>
                <w:b/>
                <w:bCs/>
                <w:color w:val="000000"/>
              </w:rPr>
              <w:t>WRIA 10</w:t>
            </w:r>
          </w:p>
        </w:tc>
      </w:tr>
      <w:tr w:rsidR="009B4ED7" w:rsidTr="009B4ED7">
        <w:trPr>
          <w:trHeight w:val="300"/>
        </w:trPr>
        <w:tc>
          <w:tcPr>
            <w:tcW w:w="38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rPr>
                <w:color w:val="000000"/>
              </w:rPr>
            </w:pPr>
            <w:r>
              <w:rPr>
                <w:color w:val="000000"/>
              </w:rPr>
              <w:t>PE Parcel Sample Pool</w:t>
            </w:r>
          </w:p>
        </w:tc>
        <w:tc>
          <w:tcPr>
            <w:tcW w:w="2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rPr>
                <w:color w:val="000000"/>
              </w:rPr>
            </w:pPr>
            <w:r>
              <w:rPr>
                <w:color w:val="00000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jc w:val="center"/>
              <w:rPr>
                <w:color w:val="000000"/>
              </w:rPr>
            </w:pPr>
            <w:r>
              <w:rPr>
                <w:color w:val="000000"/>
              </w:rPr>
              <w:t>978</w:t>
            </w:r>
          </w:p>
        </w:tc>
      </w:tr>
      <w:tr w:rsidR="009B4ED7" w:rsidTr="009B4ED7">
        <w:trPr>
          <w:trHeight w:val="300"/>
        </w:trPr>
        <w:tc>
          <w:tcPr>
            <w:tcW w:w="38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rPr>
                <w:color w:val="000000"/>
              </w:rPr>
            </w:pPr>
            <w:r>
              <w:rPr>
                <w:color w:val="000000"/>
              </w:rPr>
              <w:t>Sample Size</w:t>
            </w:r>
          </w:p>
        </w:tc>
        <w:tc>
          <w:tcPr>
            <w:tcW w:w="2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rPr>
                <w:color w:val="000000"/>
              </w:rPr>
            </w:pPr>
            <w:r>
              <w:rPr>
                <w:color w:val="00000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jc w:val="center"/>
              <w:rPr>
                <w:color w:val="000000"/>
              </w:rPr>
            </w:pPr>
            <w:r>
              <w:rPr>
                <w:color w:val="000000"/>
              </w:rPr>
              <w:t>80</w:t>
            </w:r>
          </w:p>
        </w:tc>
      </w:tr>
      <w:tr w:rsidR="009B4ED7" w:rsidTr="009B4ED7">
        <w:trPr>
          <w:trHeight w:val="300"/>
        </w:trPr>
        <w:tc>
          <w:tcPr>
            <w:tcW w:w="38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rPr>
                <w:color w:val="000000"/>
              </w:rPr>
            </w:pPr>
            <w:r>
              <w:rPr>
                <w:color w:val="000000"/>
              </w:rPr>
              <w:t>Standard Deviation (acres)</w:t>
            </w:r>
          </w:p>
        </w:tc>
        <w:tc>
          <w:tcPr>
            <w:tcW w:w="2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rPr>
                <w:color w:val="000000"/>
              </w:rPr>
            </w:pPr>
            <w:r>
              <w:rPr>
                <w:color w:val="00000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jc w:val="center"/>
              <w:rPr>
                <w:color w:val="000000"/>
              </w:rPr>
            </w:pPr>
            <w:r>
              <w:rPr>
                <w:color w:val="000000"/>
              </w:rPr>
              <w:t>0.31</w:t>
            </w:r>
          </w:p>
        </w:tc>
      </w:tr>
      <w:tr w:rsidR="009B4ED7" w:rsidTr="009B4ED7">
        <w:trPr>
          <w:trHeight w:val="300"/>
        </w:trPr>
        <w:tc>
          <w:tcPr>
            <w:tcW w:w="38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rPr>
                <w:color w:val="000000"/>
              </w:rPr>
            </w:pPr>
            <w:r>
              <w:rPr>
                <w:color w:val="000000"/>
              </w:rPr>
              <w:t>Mean  (acres)</w:t>
            </w:r>
          </w:p>
        </w:tc>
        <w:tc>
          <w:tcPr>
            <w:tcW w:w="2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rPr>
                <w:color w:val="000000"/>
              </w:rPr>
            </w:pPr>
            <w:r>
              <w:rPr>
                <w:color w:val="000000"/>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jc w:val="center"/>
              <w:rPr>
                <w:color w:val="000000"/>
              </w:rPr>
            </w:pPr>
            <w:r>
              <w:rPr>
                <w:color w:val="000000"/>
              </w:rPr>
              <w:t>0.17</w:t>
            </w:r>
          </w:p>
        </w:tc>
      </w:tr>
      <w:tr w:rsidR="009B4ED7" w:rsidTr="009B4ED7">
        <w:trPr>
          <w:trHeight w:val="300"/>
        </w:trPr>
        <w:tc>
          <w:tcPr>
            <w:tcW w:w="38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rPr>
                <w:color w:val="000000"/>
              </w:rPr>
            </w:pPr>
            <w:r>
              <w:rPr>
                <w:color w:val="000000"/>
              </w:rPr>
              <w:t>95% UCL, 0.03 imputed for zeros (acres)</w:t>
            </w:r>
          </w:p>
        </w:tc>
        <w:tc>
          <w:tcPr>
            <w:tcW w:w="2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rPr>
                <w:color w:val="000000"/>
              </w:rPr>
            </w:pPr>
            <w:r>
              <w:rPr>
                <w:color w:val="000000"/>
              </w:rPr>
              <w:t>Gamma</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jc w:val="center"/>
              <w:rPr>
                <w:color w:val="000000"/>
              </w:rPr>
            </w:pPr>
            <w:r>
              <w:rPr>
                <w:color w:val="000000"/>
              </w:rPr>
              <w:t>0.26</w:t>
            </w:r>
          </w:p>
        </w:tc>
      </w:tr>
      <w:tr w:rsidR="009B4ED7" w:rsidTr="009B4ED7">
        <w:trPr>
          <w:trHeight w:val="300"/>
        </w:trPr>
        <w:tc>
          <w:tcPr>
            <w:tcW w:w="38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rPr>
                <w:color w:val="000000"/>
              </w:rPr>
            </w:pPr>
            <w:r>
              <w:rPr>
                <w:color w:val="000000"/>
              </w:rPr>
              <w:t>95% UCL, 0.05 imputed for zeros (acres)</w:t>
            </w:r>
          </w:p>
        </w:tc>
        <w:tc>
          <w:tcPr>
            <w:tcW w:w="2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rPr>
                <w:color w:val="000000"/>
              </w:rPr>
            </w:pPr>
            <w:r>
              <w:rPr>
                <w:color w:val="000000"/>
              </w:rPr>
              <w:t>Gamma</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jc w:val="center"/>
              <w:rPr>
                <w:color w:val="000000"/>
              </w:rPr>
            </w:pPr>
            <w:r>
              <w:rPr>
                <w:color w:val="000000"/>
              </w:rPr>
              <w:t>0.27</w:t>
            </w:r>
          </w:p>
        </w:tc>
      </w:tr>
      <w:tr w:rsidR="009B4ED7" w:rsidTr="009B4ED7">
        <w:trPr>
          <w:trHeight w:val="300"/>
        </w:trPr>
        <w:tc>
          <w:tcPr>
            <w:tcW w:w="38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rPr>
                <w:color w:val="000000"/>
              </w:rPr>
            </w:pPr>
            <w:r>
              <w:rPr>
                <w:color w:val="000000"/>
              </w:rPr>
              <w:t>95% UCL, 0.06 imputed for zeros (acres)</w:t>
            </w:r>
          </w:p>
        </w:tc>
        <w:tc>
          <w:tcPr>
            <w:tcW w:w="2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rPr>
                <w:color w:val="000000"/>
              </w:rPr>
            </w:pPr>
            <w:r>
              <w:rPr>
                <w:color w:val="000000"/>
              </w:rPr>
              <w:t>Gamma</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jc w:val="center"/>
              <w:rPr>
                <w:color w:val="000000"/>
              </w:rPr>
            </w:pPr>
            <w:r>
              <w:rPr>
                <w:color w:val="000000"/>
              </w:rPr>
              <w:t>0.27</w:t>
            </w:r>
          </w:p>
        </w:tc>
      </w:tr>
      <w:tr w:rsidR="009B4ED7" w:rsidTr="009B4ED7">
        <w:trPr>
          <w:trHeight w:val="300"/>
        </w:trPr>
        <w:tc>
          <w:tcPr>
            <w:tcW w:w="38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rPr>
                <w:color w:val="000000"/>
              </w:rPr>
            </w:pPr>
            <w:r>
              <w:rPr>
                <w:color w:val="000000"/>
              </w:rPr>
              <w:t>95% UCL (acres)</w:t>
            </w:r>
          </w:p>
        </w:tc>
        <w:tc>
          <w:tcPr>
            <w:tcW w:w="2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rPr>
                <w:color w:val="000000"/>
              </w:rPr>
            </w:pPr>
            <w:r>
              <w:rPr>
                <w:color w:val="000000"/>
              </w:rPr>
              <w:t>Non-parametric</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B4ED7" w:rsidRDefault="009B4ED7">
            <w:pPr>
              <w:jc w:val="center"/>
              <w:rPr>
                <w:color w:val="000000"/>
              </w:rPr>
            </w:pPr>
            <w:r>
              <w:rPr>
                <w:color w:val="000000"/>
              </w:rPr>
              <w:t>0.32</w:t>
            </w:r>
          </w:p>
        </w:tc>
      </w:tr>
    </w:tbl>
    <w:p w:rsidR="009B4ED7" w:rsidRDefault="009B4ED7" w:rsidP="00880E98">
      <w:pPr>
        <w:rPr>
          <w:b/>
        </w:rPr>
      </w:pPr>
    </w:p>
    <w:p w:rsidR="002558AD" w:rsidRPr="002558AD" w:rsidRDefault="002558AD" w:rsidP="002558AD">
      <w:r>
        <w:rPr>
          <w:b/>
        </w:rPr>
        <w:t xml:space="preserve">Workgroup Discussions: </w:t>
      </w:r>
      <w:r>
        <w:t>The workgroup made several observations based on the information provided by HDR:</w:t>
      </w:r>
    </w:p>
    <w:p w:rsidR="002558AD" w:rsidRPr="002558AD" w:rsidRDefault="002558AD" w:rsidP="002558AD">
      <w:pPr>
        <w:pStyle w:val="ListParagraph"/>
        <w:numPr>
          <w:ilvl w:val="0"/>
          <w:numId w:val="7"/>
        </w:numPr>
        <w:rPr>
          <w:b/>
        </w:rPr>
      </w:pPr>
      <w:r>
        <w:t>The workgroup noted the different non-detect values did not make much difference in the 95% UCL distribution.</w:t>
      </w:r>
    </w:p>
    <w:p w:rsidR="002558AD" w:rsidRPr="00AE1A09" w:rsidRDefault="002558AD" w:rsidP="002558AD">
      <w:pPr>
        <w:pStyle w:val="ListParagraph"/>
        <w:numPr>
          <w:ilvl w:val="0"/>
          <w:numId w:val="7"/>
        </w:numPr>
        <w:rPr>
          <w:b/>
        </w:rPr>
      </w:pPr>
      <w:r>
        <w:t xml:space="preserve">The workgroup noted the importance of accounting for outdoor water that </w:t>
      </w:r>
      <w:proofErr w:type="gramStart"/>
      <w:r>
        <w:t>was not used</w:t>
      </w:r>
      <w:proofErr w:type="gramEnd"/>
      <w:r>
        <w:t xml:space="preserve"> for irrigation, such as flower gardens and car washing.</w:t>
      </w:r>
    </w:p>
    <w:p w:rsidR="00FC7772" w:rsidRPr="00FC7772" w:rsidRDefault="00AE1A09" w:rsidP="0062705D">
      <w:pPr>
        <w:pStyle w:val="ListParagraph"/>
        <w:numPr>
          <w:ilvl w:val="0"/>
          <w:numId w:val="7"/>
        </w:numPr>
        <w:rPr>
          <w:b/>
        </w:rPr>
      </w:pPr>
      <w:r>
        <w:t xml:space="preserve">The workgroup requested information on the adjacent </w:t>
      </w:r>
      <w:r w:rsidR="00FC7772">
        <w:t>WRIAs to compare</w:t>
      </w:r>
      <w:r w:rsidR="00067EE3">
        <w:t>.</w:t>
      </w:r>
      <w:r w:rsidR="00FC7772">
        <w:t xml:space="preserve"> </w:t>
      </w:r>
    </w:p>
    <w:p w:rsidR="0062705D" w:rsidRPr="00FC7772" w:rsidRDefault="00FC7772" w:rsidP="00FC7772">
      <w:pPr>
        <w:pStyle w:val="ListParagraph"/>
        <w:numPr>
          <w:ilvl w:val="1"/>
          <w:numId w:val="7"/>
        </w:numPr>
        <w:rPr>
          <w:b/>
        </w:rPr>
      </w:pPr>
      <w:r>
        <w:t xml:space="preserve">The table below summarizes work completed in WRIAs 7-12, including the average irrigated area and sample size from the </w:t>
      </w:r>
      <w:proofErr w:type="spellStart"/>
      <w:r>
        <w:t>GeoEngineers</w:t>
      </w:r>
      <w:proofErr w:type="spellEnd"/>
      <w:r>
        <w:t xml:space="preserve"> and HDR work, the projected new permit-exempt wells, and consumptive use estimate in acre-feet per year.</w:t>
      </w:r>
    </w:p>
    <w:p w:rsidR="00FC7772" w:rsidRPr="007504BF" w:rsidRDefault="00FC7772" w:rsidP="00FC7772">
      <w:pPr>
        <w:pStyle w:val="ListParagraph"/>
        <w:numPr>
          <w:ilvl w:val="1"/>
          <w:numId w:val="7"/>
        </w:numPr>
        <w:rPr>
          <w:b/>
        </w:rPr>
      </w:pPr>
      <w:r>
        <w:t xml:space="preserve">Please note that these committees have not </w:t>
      </w:r>
      <w:r w:rsidR="0042193C">
        <w:t xml:space="preserve">necessarily </w:t>
      </w:r>
      <w:r>
        <w:t>made formal decisions on the permit-exempt well projections and/or consumptive use estimates, so these numbers are sub</w:t>
      </w:r>
      <w:r w:rsidR="00E35F47">
        <w:t xml:space="preserve">ject to change. </w:t>
      </w:r>
    </w:p>
    <w:tbl>
      <w:tblPr>
        <w:tblStyle w:val="GridTable1Light"/>
        <w:tblW w:w="6835" w:type="dxa"/>
        <w:tblLook w:val="04A0" w:firstRow="1" w:lastRow="0" w:firstColumn="1" w:lastColumn="0" w:noHBand="0" w:noVBand="1"/>
        <w:tblDescription w:val="Table showing the irrigated area, sample size, projected pe wells, and preliminary consumptive use."/>
      </w:tblPr>
      <w:tblGrid>
        <w:gridCol w:w="820"/>
        <w:gridCol w:w="1250"/>
        <w:gridCol w:w="1457"/>
        <w:gridCol w:w="1716"/>
        <w:gridCol w:w="1592"/>
      </w:tblGrid>
      <w:tr w:rsidR="007504BF" w:rsidRPr="00067EE3" w:rsidTr="00445FB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20" w:type="dxa"/>
            <w:noWrap/>
            <w:hideMark/>
          </w:tcPr>
          <w:p w:rsidR="007504BF" w:rsidRPr="00067EE3" w:rsidRDefault="007504BF" w:rsidP="00DC2F4B">
            <w:pPr>
              <w:rPr>
                <w:rFonts w:ascii="Calibri" w:eastAsia="Times New Roman" w:hAnsi="Calibri" w:cs="Calibri"/>
              </w:rPr>
            </w:pPr>
            <w:r w:rsidRPr="00067EE3">
              <w:rPr>
                <w:rFonts w:ascii="Calibri" w:eastAsia="Times New Roman" w:hAnsi="Calibri" w:cs="Calibri"/>
              </w:rPr>
              <w:t>WRIA</w:t>
            </w:r>
          </w:p>
        </w:tc>
        <w:tc>
          <w:tcPr>
            <w:tcW w:w="1250" w:type="dxa"/>
            <w:noWrap/>
            <w:hideMark/>
          </w:tcPr>
          <w:p w:rsidR="007504BF" w:rsidRPr="00067EE3" w:rsidRDefault="007504BF" w:rsidP="00DC2F4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067EE3">
              <w:rPr>
                <w:rFonts w:ascii="Calibri" w:eastAsia="Times New Roman" w:hAnsi="Calibri" w:cs="Calibri"/>
                <w:bCs w:val="0"/>
              </w:rPr>
              <w:t>Irrigated Area (a</w:t>
            </w:r>
            <w:r w:rsidRPr="00067EE3">
              <w:rPr>
                <w:rFonts w:ascii="Calibri" w:eastAsia="Times New Roman" w:hAnsi="Calibri" w:cs="Calibri"/>
              </w:rPr>
              <w:t>cre</w:t>
            </w:r>
            <w:r w:rsidRPr="00067EE3">
              <w:rPr>
                <w:rFonts w:ascii="Calibri" w:eastAsia="Times New Roman" w:hAnsi="Calibri" w:cs="Calibri"/>
                <w:bCs w:val="0"/>
              </w:rPr>
              <w:t>)</w:t>
            </w:r>
          </w:p>
        </w:tc>
        <w:tc>
          <w:tcPr>
            <w:tcW w:w="1457" w:type="dxa"/>
          </w:tcPr>
          <w:p w:rsidR="007504BF" w:rsidRPr="00067EE3" w:rsidRDefault="007504BF" w:rsidP="00DC2F4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rPr>
            </w:pPr>
            <w:r>
              <w:rPr>
                <w:rFonts w:ascii="Calibri" w:eastAsia="Times New Roman" w:hAnsi="Calibri" w:cs="Calibri"/>
                <w:bCs w:val="0"/>
              </w:rPr>
              <w:t>Irrigated Area Analysis Sample Size</w:t>
            </w:r>
          </w:p>
        </w:tc>
        <w:tc>
          <w:tcPr>
            <w:tcW w:w="1716" w:type="dxa"/>
          </w:tcPr>
          <w:p w:rsidR="007504BF" w:rsidRPr="00067EE3" w:rsidRDefault="00FC7772" w:rsidP="00FC77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Projected N</w:t>
            </w:r>
            <w:r w:rsidR="007504BF" w:rsidRPr="00067EE3">
              <w:rPr>
                <w:rFonts w:ascii="Calibri" w:eastAsia="Times New Roman" w:hAnsi="Calibri" w:cs="Calibri"/>
              </w:rPr>
              <w:t xml:space="preserve">ew </w:t>
            </w:r>
            <w:r>
              <w:rPr>
                <w:rFonts w:ascii="Calibri" w:eastAsia="Times New Roman" w:hAnsi="Calibri" w:cs="Calibri"/>
              </w:rPr>
              <w:t>Permit-Exempt Wells</w:t>
            </w:r>
          </w:p>
        </w:tc>
        <w:tc>
          <w:tcPr>
            <w:tcW w:w="1592" w:type="dxa"/>
            <w:noWrap/>
            <w:hideMark/>
          </w:tcPr>
          <w:p w:rsidR="007504BF" w:rsidRPr="00067EE3" w:rsidRDefault="007504BF" w:rsidP="00DC2F4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067EE3">
              <w:rPr>
                <w:rFonts w:ascii="Calibri" w:eastAsia="Times New Roman" w:hAnsi="Calibri" w:cs="Calibri"/>
              </w:rPr>
              <w:t>Consumptive Use Estimate AFY</w:t>
            </w:r>
          </w:p>
        </w:tc>
      </w:tr>
      <w:tr w:rsidR="007504BF" w:rsidRPr="00067EE3" w:rsidTr="00445FB7">
        <w:trPr>
          <w:trHeight w:val="300"/>
        </w:trPr>
        <w:tc>
          <w:tcPr>
            <w:cnfStyle w:val="001000000000" w:firstRow="0" w:lastRow="0" w:firstColumn="1" w:lastColumn="0" w:oddVBand="0" w:evenVBand="0" w:oddHBand="0" w:evenHBand="0" w:firstRowFirstColumn="0" w:firstRowLastColumn="0" w:lastRowFirstColumn="0" w:lastRowLastColumn="0"/>
            <w:tcW w:w="820" w:type="dxa"/>
            <w:noWrap/>
            <w:hideMark/>
          </w:tcPr>
          <w:p w:rsidR="007504BF" w:rsidRPr="00067EE3" w:rsidRDefault="007504BF" w:rsidP="00DC2F4B">
            <w:pPr>
              <w:jc w:val="center"/>
              <w:rPr>
                <w:rFonts w:ascii="Calibri" w:eastAsia="Times New Roman" w:hAnsi="Calibri" w:cs="Calibri"/>
                <w:color w:val="000000"/>
              </w:rPr>
            </w:pPr>
            <w:r w:rsidRPr="00067EE3">
              <w:rPr>
                <w:rFonts w:ascii="Calibri" w:eastAsia="Times New Roman" w:hAnsi="Calibri" w:cs="Calibri"/>
                <w:color w:val="000000"/>
              </w:rPr>
              <w:t>7</w:t>
            </w:r>
          </w:p>
        </w:tc>
        <w:tc>
          <w:tcPr>
            <w:tcW w:w="1250" w:type="dxa"/>
            <w:noWrap/>
            <w:hideMark/>
          </w:tcPr>
          <w:p w:rsidR="007504BF" w:rsidRPr="00067EE3" w:rsidRDefault="007504BF" w:rsidP="00DC2F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67EE3">
              <w:rPr>
                <w:rFonts w:ascii="Calibri" w:eastAsia="Times New Roman" w:hAnsi="Calibri" w:cs="Calibri"/>
                <w:color w:val="000000"/>
              </w:rPr>
              <w:t>0.21</w:t>
            </w:r>
          </w:p>
        </w:tc>
        <w:tc>
          <w:tcPr>
            <w:tcW w:w="1457" w:type="dxa"/>
          </w:tcPr>
          <w:p w:rsidR="007504BF" w:rsidRPr="00067EE3" w:rsidRDefault="007504BF" w:rsidP="00DC2F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393</w:t>
            </w:r>
          </w:p>
        </w:tc>
        <w:tc>
          <w:tcPr>
            <w:tcW w:w="1716" w:type="dxa"/>
          </w:tcPr>
          <w:p w:rsidR="007504BF" w:rsidRPr="00067EE3" w:rsidRDefault="007504BF" w:rsidP="00DC2F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67EE3">
              <w:rPr>
                <w:rFonts w:ascii="Calibri" w:eastAsia="Times New Roman" w:hAnsi="Calibri" w:cs="Calibri"/>
                <w:color w:val="000000"/>
              </w:rPr>
              <w:t>3,389</w:t>
            </w:r>
          </w:p>
        </w:tc>
        <w:tc>
          <w:tcPr>
            <w:tcW w:w="1592" w:type="dxa"/>
            <w:noWrap/>
            <w:hideMark/>
          </w:tcPr>
          <w:p w:rsidR="007504BF" w:rsidRPr="00067EE3" w:rsidRDefault="007504BF" w:rsidP="00DC2F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67EE3">
              <w:rPr>
                <w:rFonts w:ascii="Calibri" w:eastAsia="Times New Roman" w:hAnsi="Calibri" w:cs="Calibri"/>
                <w:color w:val="000000"/>
              </w:rPr>
              <w:t>797.4</w:t>
            </w:r>
          </w:p>
        </w:tc>
      </w:tr>
      <w:tr w:rsidR="007504BF" w:rsidRPr="00067EE3" w:rsidTr="00445FB7">
        <w:trPr>
          <w:trHeight w:val="300"/>
        </w:trPr>
        <w:tc>
          <w:tcPr>
            <w:cnfStyle w:val="001000000000" w:firstRow="0" w:lastRow="0" w:firstColumn="1" w:lastColumn="0" w:oddVBand="0" w:evenVBand="0" w:oddHBand="0" w:evenHBand="0" w:firstRowFirstColumn="0" w:firstRowLastColumn="0" w:lastRowFirstColumn="0" w:lastRowLastColumn="0"/>
            <w:tcW w:w="820" w:type="dxa"/>
            <w:noWrap/>
            <w:hideMark/>
          </w:tcPr>
          <w:p w:rsidR="007504BF" w:rsidRPr="00067EE3" w:rsidRDefault="007504BF" w:rsidP="00DC2F4B">
            <w:pPr>
              <w:jc w:val="center"/>
              <w:rPr>
                <w:rFonts w:ascii="Calibri" w:eastAsia="Times New Roman" w:hAnsi="Calibri" w:cs="Calibri"/>
                <w:color w:val="000000"/>
              </w:rPr>
            </w:pPr>
            <w:r w:rsidRPr="00067EE3">
              <w:rPr>
                <w:rFonts w:ascii="Calibri" w:eastAsia="Times New Roman" w:hAnsi="Calibri" w:cs="Calibri"/>
                <w:color w:val="000000"/>
              </w:rPr>
              <w:t>8</w:t>
            </w:r>
          </w:p>
        </w:tc>
        <w:tc>
          <w:tcPr>
            <w:tcW w:w="1250" w:type="dxa"/>
            <w:noWrap/>
            <w:hideMark/>
          </w:tcPr>
          <w:p w:rsidR="007504BF" w:rsidRPr="00067EE3" w:rsidRDefault="007504BF" w:rsidP="00DC2F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67EE3">
              <w:rPr>
                <w:rFonts w:ascii="Calibri" w:eastAsia="Times New Roman" w:hAnsi="Calibri" w:cs="Calibri"/>
                <w:color w:val="000000"/>
              </w:rPr>
              <w:t>0.32</w:t>
            </w:r>
          </w:p>
        </w:tc>
        <w:tc>
          <w:tcPr>
            <w:tcW w:w="1457" w:type="dxa"/>
          </w:tcPr>
          <w:p w:rsidR="007504BF" w:rsidRPr="00067EE3" w:rsidRDefault="007504BF" w:rsidP="00DC2F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153</w:t>
            </w:r>
          </w:p>
        </w:tc>
        <w:tc>
          <w:tcPr>
            <w:tcW w:w="1716" w:type="dxa"/>
          </w:tcPr>
          <w:p w:rsidR="007504BF" w:rsidRPr="00067EE3" w:rsidRDefault="007504BF" w:rsidP="00DC2F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67EE3">
              <w:rPr>
                <w:rFonts w:ascii="Calibri" w:eastAsia="Times New Roman" w:hAnsi="Calibri" w:cs="Calibri"/>
                <w:color w:val="000000"/>
              </w:rPr>
              <w:t>967</w:t>
            </w:r>
          </w:p>
        </w:tc>
        <w:tc>
          <w:tcPr>
            <w:tcW w:w="1592" w:type="dxa"/>
            <w:noWrap/>
            <w:hideMark/>
          </w:tcPr>
          <w:p w:rsidR="007504BF" w:rsidRPr="00067EE3" w:rsidRDefault="007504BF" w:rsidP="00DC2F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67EE3">
              <w:rPr>
                <w:rFonts w:ascii="Calibri" w:eastAsia="Times New Roman" w:hAnsi="Calibri" w:cs="Calibri"/>
                <w:color w:val="000000"/>
              </w:rPr>
              <w:t>425.4</w:t>
            </w:r>
          </w:p>
        </w:tc>
      </w:tr>
      <w:tr w:rsidR="007504BF" w:rsidRPr="00067EE3" w:rsidTr="00445FB7">
        <w:trPr>
          <w:trHeight w:val="300"/>
        </w:trPr>
        <w:tc>
          <w:tcPr>
            <w:cnfStyle w:val="001000000000" w:firstRow="0" w:lastRow="0" w:firstColumn="1" w:lastColumn="0" w:oddVBand="0" w:evenVBand="0" w:oddHBand="0" w:evenHBand="0" w:firstRowFirstColumn="0" w:firstRowLastColumn="0" w:lastRowFirstColumn="0" w:lastRowLastColumn="0"/>
            <w:tcW w:w="820" w:type="dxa"/>
            <w:noWrap/>
            <w:hideMark/>
          </w:tcPr>
          <w:p w:rsidR="007504BF" w:rsidRPr="00067EE3" w:rsidRDefault="007504BF" w:rsidP="00DC2F4B">
            <w:pPr>
              <w:jc w:val="center"/>
              <w:rPr>
                <w:rFonts w:ascii="Calibri" w:eastAsia="Times New Roman" w:hAnsi="Calibri" w:cs="Calibri"/>
                <w:color w:val="000000"/>
              </w:rPr>
            </w:pPr>
            <w:r w:rsidRPr="00067EE3">
              <w:rPr>
                <w:rFonts w:ascii="Calibri" w:eastAsia="Times New Roman" w:hAnsi="Calibri" w:cs="Calibri"/>
                <w:color w:val="000000"/>
              </w:rPr>
              <w:t>9</w:t>
            </w:r>
          </w:p>
        </w:tc>
        <w:tc>
          <w:tcPr>
            <w:tcW w:w="1250" w:type="dxa"/>
            <w:noWrap/>
            <w:hideMark/>
          </w:tcPr>
          <w:p w:rsidR="007504BF" w:rsidRPr="00067EE3" w:rsidRDefault="007504BF" w:rsidP="00DC2F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67EE3">
              <w:rPr>
                <w:rFonts w:ascii="Calibri" w:eastAsia="Times New Roman" w:hAnsi="Calibri" w:cs="Calibri"/>
                <w:color w:val="000000"/>
              </w:rPr>
              <w:t>0.30</w:t>
            </w:r>
          </w:p>
        </w:tc>
        <w:tc>
          <w:tcPr>
            <w:tcW w:w="1457" w:type="dxa"/>
          </w:tcPr>
          <w:p w:rsidR="007504BF" w:rsidRPr="00067EE3" w:rsidRDefault="007504BF" w:rsidP="00DC2F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211</w:t>
            </w:r>
          </w:p>
        </w:tc>
        <w:tc>
          <w:tcPr>
            <w:tcW w:w="1716" w:type="dxa"/>
          </w:tcPr>
          <w:p w:rsidR="007504BF" w:rsidRPr="00067EE3" w:rsidRDefault="007504BF" w:rsidP="00DC2F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67EE3">
              <w:rPr>
                <w:rFonts w:ascii="Calibri" w:eastAsia="Times New Roman" w:hAnsi="Calibri" w:cs="Calibri"/>
                <w:color w:val="000000"/>
              </w:rPr>
              <w:t>632</w:t>
            </w:r>
          </w:p>
        </w:tc>
        <w:tc>
          <w:tcPr>
            <w:tcW w:w="1592" w:type="dxa"/>
            <w:noWrap/>
            <w:hideMark/>
          </w:tcPr>
          <w:p w:rsidR="007504BF" w:rsidRPr="00067EE3" w:rsidRDefault="007504BF" w:rsidP="00DC2F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67EE3">
              <w:rPr>
                <w:rFonts w:ascii="Calibri" w:eastAsia="Times New Roman" w:hAnsi="Calibri" w:cs="Calibri"/>
                <w:color w:val="000000"/>
              </w:rPr>
              <w:t>247.7</w:t>
            </w:r>
          </w:p>
        </w:tc>
      </w:tr>
      <w:tr w:rsidR="007504BF" w:rsidRPr="00067EE3" w:rsidTr="00445FB7">
        <w:trPr>
          <w:trHeight w:val="300"/>
        </w:trPr>
        <w:tc>
          <w:tcPr>
            <w:cnfStyle w:val="001000000000" w:firstRow="0" w:lastRow="0" w:firstColumn="1" w:lastColumn="0" w:oddVBand="0" w:evenVBand="0" w:oddHBand="0" w:evenHBand="0" w:firstRowFirstColumn="0" w:firstRowLastColumn="0" w:lastRowFirstColumn="0" w:lastRowLastColumn="0"/>
            <w:tcW w:w="820" w:type="dxa"/>
            <w:noWrap/>
            <w:hideMark/>
          </w:tcPr>
          <w:p w:rsidR="007504BF" w:rsidRPr="00067EE3" w:rsidRDefault="007504BF" w:rsidP="00DC2F4B">
            <w:pPr>
              <w:jc w:val="center"/>
              <w:rPr>
                <w:rFonts w:ascii="Calibri" w:eastAsia="Times New Roman" w:hAnsi="Calibri" w:cs="Calibri"/>
                <w:color w:val="000000"/>
              </w:rPr>
            </w:pPr>
            <w:r w:rsidRPr="00067EE3">
              <w:rPr>
                <w:rFonts w:ascii="Calibri" w:eastAsia="Times New Roman" w:hAnsi="Calibri" w:cs="Calibri"/>
                <w:color w:val="000000"/>
              </w:rPr>
              <w:t>10</w:t>
            </w:r>
          </w:p>
        </w:tc>
        <w:tc>
          <w:tcPr>
            <w:tcW w:w="1250" w:type="dxa"/>
            <w:noWrap/>
            <w:hideMark/>
          </w:tcPr>
          <w:p w:rsidR="007504BF" w:rsidRPr="00067EE3" w:rsidRDefault="007504BF" w:rsidP="00DC2F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67EE3">
              <w:rPr>
                <w:rFonts w:ascii="Calibri" w:eastAsia="Times New Roman" w:hAnsi="Calibri" w:cs="Calibri"/>
                <w:color w:val="000000"/>
              </w:rPr>
              <w:t>0.27</w:t>
            </w:r>
          </w:p>
        </w:tc>
        <w:tc>
          <w:tcPr>
            <w:tcW w:w="1457" w:type="dxa"/>
          </w:tcPr>
          <w:p w:rsidR="007504BF" w:rsidRPr="00067EE3" w:rsidRDefault="007504BF" w:rsidP="00DC2F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80</w:t>
            </w:r>
          </w:p>
        </w:tc>
        <w:tc>
          <w:tcPr>
            <w:tcW w:w="1716" w:type="dxa"/>
          </w:tcPr>
          <w:p w:rsidR="007504BF" w:rsidRPr="00067EE3" w:rsidRDefault="007504BF" w:rsidP="00DC2F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67EE3">
              <w:rPr>
                <w:rFonts w:ascii="Calibri" w:eastAsia="Times New Roman" w:hAnsi="Calibri" w:cs="Calibri"/>
                <w:color w:val="000000"/>
              </w:rPr>
              <w:t>688</w:t>
            </w:r>
          </w:p>
        </w:tc>
        <w:tc>
          <w:tcPr>
            <w:tcW w:w="1592" w:type="dxa"/>
            <w:noWrap/>
            <w:hideMark/>
          </w:tcPr>
          <w:p w:rsidR="007504BF" w:rsidRPr="00067EE3" w:rsidRDefault="007504BF" w:rsidP="00DC2F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67EE3">
              <w:rPr>
                <w:rFonts w:ascii="Calibri" w:eastAsia="Times New Roman" w:hAnsi="Calibri" w:cs="Calibri"/>
                <w:color w:val="000000"/>
              </w:rPr>
              <w:t>277.4</w:t>
            </w:r>
          </w:p>
        </w:tc>
      </w:tr>
      <w:tr w:rsidR="007504BF" w:rsidRPr="00067EE3" w:rsidTr="00445FB7">
        <w:trPr>
          <w:trHeight w:val="300"/>
        </w:trPr>
        <w:tc>
          <w:tcPr>
            <w:cnfStyle w:val="001000000000" w:firstRow="0" w:lastRow="0" w:firstColumn="1" w:lastColumn="0" w:oddVBand="0" w:evenVBand="0" w:oddHBand="0" w:evenHBand="0" w:firstRowFirstColumn="0" w:firstRowLastColumn="0" w:lastRowFirstColumn="0" w:lastRowLastColumn="0"/>
            <w:tcW w:w="820" w:type="dxa"/>
            <w:noWrap/>
            <w:hideMark/>
          </w:tcPr>
          <w:p w:rsidR="007504BF" w:rsidRPr="00067EE3" w:rsidRDefault="007504BF" w:rsidP="00DC2F4B">
            <w:pPr>
              <w:jc w:val="center"/>
              <w:rPr>
                <w:rFonts w:ascii="Calibri" w:eastAsia="Times New Roman" w:hAnsi="Calibri" w:cs="Calibri"/>
                <w:color w:val="000000"/>
              </w:rPr>
            </w:pPr>
            <w:r w:rsidRPr="00067EE3">
              <w:rPr>
                <w:rFonts w:ascii="Calibri" w:eastAsia="Times New Roman" w:hAnsi="Calibri" w:cs="Calibri"/>
                <w:color w:val="000000"/>
              </w:rPr>
              <w:t>12</w:t>
            </w:r>
            <w:r>
              <w:rPr>
                <w:rFonts w:ascii="Calibri" w:eastAsia="Times New Roman" w:hAnsi="Calibri" w:cs="Calibri"/>
                <w:color w:val="000000"/>
              </w:rPr>
              <w:t>*</w:t>
            </w:r>
          </w:p>
        </w:tc>
        <w:tc>
          <w:tcPr>
            <w:tcW w:w="1250" w:type="dxa"/>
            <w:noWrap/>
            <w:hideMark/>
          </w:tcPr>
          <w:p w:rsidR="007504BF" w:rsidRPr="00067EE3" w:rsidRDefault="007504BF" w:rsidP="00DC2F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67EE3">
              <w:rPr>
                <w:rFonts w:ascii="Calibri" w:eastAsia="Times New Roman" w:hAnsi="Calibri" w:cs="Calibri"/>
                <w:color w:val="000000"/>
              </w:rPr>
              <w:t>0.21</w:t>
            </w:r>
          </w:p>
        </w:tc>
        <w:tc>
          <w:tcPr>
            <w:tcW w:w="1457" w:type="dxa"/>
          </w:tcPr>
          <w:p w:rsidR="007504BF" w:rsidRPr="00067EE3" w:rsidRDefault="007504BF" w:rsidP="00DC2F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80</w:t>
            </w:r>
          </w:p>
        </w:tc>
        <w:tc>
          <w:tcPr>
            <w:tcW w:w="1716" w:type="dxa"/>
          </w:tcPr>
          <w:p w:rsidR="007504BF" w:rsidRPr="00067EE3" w:rsidRDefault="007504BF" w:rsidP="00DC2F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145</w:t>
            </w:r>
          </w:p>
        </w:tc>
        <w:tc>
          <w:tcPr>
            <w:tcW w:w="1592" w:type="dxa"/>
            <w:noWrap/>
            <w:hideMark/>
          </w:tcPr>
          <w:p w:rsidR="007504BF" w:rsidRPr="00067EE3" w:rsidRDefault="007504BF" w:rsidP="00DC2F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067EE3">
              <w:rPr>
                <w:rFonts w:ascii="Calibri" w:eastAsia="Times New Roman" w:hAnsi="Calibri" w:cs="Calibri"/>
                <w:color w:val="000000"/>
              </w:rPr>
              <w:t>57.4</w:t>
            </w:r>
          </w:p>
        </w:tc>
      </w:tr>
    </w:tbl>
    <w:p w:rsidR="007504BF" w:rsidRPr="007504BF" w:rsidRDefault="007504BF" w:rsidP="007504BF">
      <w:pPr>
        <w:rPr>
          <w:sz w:val="18"/>
          <w:szCs w:val="18"/>
        </w:rPr>
      </w:pPr>
      <w:r>
        <w:t>*</w:t>
      </w:r>
      <w:r w:rsidRPr="007504BF">
        <w:rPr>
          <w:sz w:val="18"/>
          <w:szCs w:val="18"/>
        </w:rPr>
        <w:t>WRIA 12 irrigated area based on the 95% UCL. New PE well and CU estimate based on moderate projection. The low growth projection is 78 new wells and the high growth projection is 228 new wells.</w:t>
      </w:r>
    </w:p>
    <w:p w:rsidR="00067EE3" w:rsidRPr="00E35F47" w:rsidRDefault="00FC7772" w:rsidP="00067EE3">
      <w:pPr>
        <w:pStyle w:val="ListParagraph"/>
        <w:numPr>
          <w:ilvl w:val="0"/>
          <w:numId w:val="7"/>
        </w:numPr>
        <w:rPr>
          <w:b/>
        </w:rPr>
      </w:pPr>
      <w:r>
        <w:t>C</w:t>
      </w:r>
      <w:r w:rsidR="00E71827">
        <w:t xml:space="preserve">oncerns about methodology and other uncertainties </w:t>
      </w:r>
      <w:proofErr w:type="gramStart"/>
      <w:r w:rsidR="00E71827">
        <w:t>will be documented</w:t>
      </w:r>
      <w:proofErr w:type="gramEnd"/>
      <w:r w:rsidR="00E71827">
        <w:t xml:space="preserve"> in the plan.</w:t>
      </w:r>
    </w:p>
    <w:p w:rsidR="00880E98" w:rsidRPr="00067EE3" w:rsidRDefault="00707E73" w:rsidP="00880E98">
      <w:pPr>
        <w:rPr>
          <w:b/>
        </w:rPr>
      </w:pPr>
      <w:r w:rsidRPr="00707E73">
        <w:rPr>
          <w:b/>
        </w:rPr>
        <w:t>Next Steps:</w:t>
      </w:r>
      <w:r>
        <w:t xml:space="preserve"> </w:t>
      </w:r>
      <w:r w:rsidR="0086388F">
        <w:t>The committee will make a final decision on the consumptive use estimate at the April 1, 2020 meeting.</w:t>
      </w:r>
      <w:r w:rsidR="00603C22" w:rsidRPr="00603C22">
        <w:rPr>
          <w:b/>
        </w:rPr>
        <w:t xml:space="preserve"> </w:t>
      </w:r>
      <w:r w:rsidR="00603C22" w:rsidRPr="00067EE3">
        <w:rPr>
          <w:b/>
        </w:rPr>
        <w:t xml:space="preserve">The workgroup recommends continuing to use the 95% UCL for the outdoor irrigated area of 0.27 acres. The workgroup recommends a consumptive use estimate of 0.38 </w:t>
      </w:r>
      <w:proofErr w:type="spellStart"/>
      <w:r w:rsidR="00603C22" w:rsidRPr="00067EE3">
        <w:rPr>
          <w:b/>
        </w:rPr>
        <w:t>cfs</w:t>
      </w:r>
      <w:proofErr w:type="spellEnd"/>
      <w:r w:rsidR="00603C22" w:rsidRPr="00067EE3">
        <w:rPr>
          <w:b/>
        </w:rPr>
        <w:t>/277.4 acre-feet per year.</w:t>
      </w:r>
    </w:p>
    <w:p w:rsidR="00B714D0" w:rsidRPr="00B714D0" w:rsidRDefault="00B714D0" w:rsidP="00FA5E5E"/>
    <w:p w:rsidR="00FA5E5E" w:rsidRPr="00FA5E5E" w:rsidRDefault="00FA5E5E" w:rsidP="00FA5E5E">
      <w:pPr>
        <w:rPr>
          <w:b/>
          <w:u w:val="single"/>
        </w:rPr>
      </w:pPr>
      <w:r w:rsidRPr="00FA5E5E">
        <w:rPr>
          <w:b/>
          <w:u w:val="single"/>
        </w:rPr>
        <w:t>Offset Target</w:t>
      </w:r>
    </w:p>
    <w:p w:rsidR="007504BF" w:rsidRDefault="007504BF" w:rsidP="00C231BF">
      <w:r>
        <w:t>The workgroup discussed whether to</w:t>
      </w:r>
      <w:r w:rsidR="00C231BF">
        <w:t xml:space="preserve"> </w:t>
      </w:r>
      <w:r>
        <w:t>set</w:t>
      </w:r>
      <w:r w:rsidR="00C231BF">
        <w:t xml:space="preserve"> an “offset target”—a value higher than the consumptive use estimate that provides a</w:t>
      </w:r>
      <w:r w:rsidR="00C03E50">
        <w:t>n additional</w:t>
      </w:r>
      <w:r w:rsidR="00C231BF">
        <w:t xml:space="preserve"> </w:t>
      </w:r>
      <w:r w:rsidR="001E7C14">
        <w:t>safety factor to account for uncertainty inherent in the analysis.</w:t>
      </w:r>
      <w:r w:rsidR="00C231BF">
        <w:t xml:space="preserve"> </w:t>
      </w:r>
    </w:p>
    <w:p w:rsidR="00C231BF" w:rsidRDefault="00C231BF" w:rsidP="00C231BF">
      <w:r>
        <w:t>The</w:t>
      </w:r>
      <w:r w:rsidR="007504BF">
        <w:t xml:space="preserve"> workgroup</w:t>
      </w:r>
      <w:r>
        <w:t xml:space="preserve"> </w:t>
      </w:r>
      <w:r w:rsidR="0086388F">
        <w:t xml:space="preserve">recommended </w:t>
      </w:r>
      <w:r w:rsidR="007504BF">
        <w:t>not setting</w:t>
      </w:r>
      <w:r w:rsidR="0086388F">
        <w:t xml:space="preserve"> offset target</w:t>
      </w:r>
      <w:r w:rsidR="007504BF">
        <w:t xml:space="preserve"> for the following reasons:</w:t>
      </w:r>
    </w:p>
    <w:p w:rsidR="007504BF" w:rsidRDefault="007504BF" w:rsidP="007504BF">
      <w:pPr>
        <w:pStyle w:val="ListParagraph"/>
        <w:numPr>
          <w:ilvl w:val="0"/>
          <w:numId w:val="7"/>
        </w:numPr>
      </w:pPr>
      <w:r>
        <w:t>Ecology staff have noted that the method used to estimate consumptive use is inherently conservative.</w:t>
      </w:r>
    </w:p>
    <w:p w:rsidR="007504BF" w:rsidRDefault="007504BF" w:rsidP="007504BF">
      <w:pPr>
        <w:pStyle w:val="ListParagraph"/>
        <w:numPr>
          <w:ilvl w:val="0"/>
          <w:numId w:val="7"/>
        </w:numPr>
      </w:pPr>
      <w:r>
        <w:t>The workgroup would prefer to spend more effort and time developing a robust project list with offsets that exceed the consumptive use estimate.</w:t>
      </w:r>
    </w:p>
    <w:p w:rsidR="00067EE3" w:rsidRDefault="009E4882" w:rsidP="009E4882">
      <w:r w:rsidRPr="009E4882">
        <w:rPr>
          <w:b/>
        </w:rPr>
        <w:t>Next Steps:</w:t>
      </w:r>
      <w:r>
        <w:t xml:space="preserve"> </w:t>
      </w:r>
      <w:r w:rsidR="00E35F47">
        <w:t>The workgroup will recommend not setting an offset target at the March 4 committee meeting for consideration. The committee and workgroup will continue developing a robust project list.</w:t>
      </w:r>
      <w:r w:rsidR="00445FB7">
        <w:t xml:space="preserve"> </w:t>
      </w:r>
    </w:p>
    <w:p w:rsidR="007504BF" w:rsidRDefault="007504BF"/>
    <w:sectPr w:rsidR="007504B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F9B" w:rsidRDefault="00C46F9B" w:rsidP="00C46F9B">
      <w:pPr>
        <w:spacing w:after="0" w:line="240" w:lineRule="auto"/>
      </w:pPr>
      <w:r>
        <w:separator/>
      </w:r>
    </w:p>
  </w:endnote>
  <w:endnote w:type="continuationSeparator" w:id="0">
    <w:p w:rsidR="00C46F9B" w:rsidRDefault="00C46F9B" w:rsidP="00C4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6AA" w:rsidRDefault="00342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6AA" w:rsidRDefault="003426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6AA" w:rsidRDefault="00342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F9B" w:rsidRDefault="00C46F9B" w:rsidP="00C46F9B">
      <w:pPr>
        <w:spacing w:after="0" w:line="240" w:lineRule="auto"/>
      </w:pPr>
      <w:r>
        <w:separator/>
      </w:r>
    </w:p>
  </w:footnote>
  <w:footnote w:type="continuationSeparator" w:id="0">
    <w:p w:rsidR="00C46F9B" w:rsidRDefault="00C46F9B" w:rsidP="00C46F9B">
      <w:pPr>
        <w:spacing w:after="0" w:line="240" w:lineRule="auto"/>
      </w:pPr>
      <w:r>
        <w:continuationSeparator/>
      </w:r>
    </w:p>
  </w:footnote>
  <w:footnote w:id="1">
    <w:p w:rsidR="00C46F9B" w:rsidRPr="00C46F9B" w:rsidRDefault="00C46F9B" w:rsidP="00C46F9B">
      <w:pPr>
        <w:pStyle w:val="FootnoteText"/>
      </w:pPr>
      <w:r>
        <w:rPr>
          <w:rStyle w:val="FootnoteReference"/>
        </w:rPr>
        <w:footnoteRef/>
      </w:r>
      <w:r>
        <w:t xml:space="preserve"> The 95% Upper Confidence Level </w:t>
      </w:r>
      <w:r>
        <w:rPr>
          <w:bCs/>
        </w:rPr>
        <w:t>assuming</w:t>
      </w:r>
      <w:r w:rsidRPr="00C46F9B">
        <w:rPr>
          <w:bCs/>
        </w:rPr>
        <w:t xml:space="preserve"> 0's are non-detects, replaced with 0.05 acres; </w:t>
      </w:r>
      <w:proofErr w:type="spellStart"/>
      <w:r w:rsidRPr="00C46F9B">
        <w:rPr>
          <w:bCs/>
        </w:rPr>
        <w:t>Parameteric</w:t>
      </w:r>
      <w:proofErr w:type="spellEnd"/>
      <w:r w:rsidRPr="00C46F9B">
        <w:rPr>
          <w:bCs/>
        </w:rPr>
        <w:t xml:space="preserve"> (Gamma or Lognormal)</w:t>
      </w:r>
      <w:r>
        <w:rPr>
          <w:bCs/>
        </w:rPr>
        <w:t>.</w:t>
      </w:r>
    </w:p>
    <w:p w:rsidR="00C46F9B" w:rsidRDefault="00C46F9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6AA" w:rsidRDefault="003426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6AA" w:rsidRDefault="00342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6AA" w:rsidRDefault="00342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6FB"/>
    <w:multiLevelType w:val="hybridMultilevel"/>
    <w:tmpl w:val="07FA6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277C6"/>
    <w:multiLevelType w:val="hybridMultilevel"/>
    <w:tmpl w:val="904AFD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C513CD"/>
    <w:multiLevelType w:val="hybridMultilevel"/>
    <w:tmpl w:val="C24EA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32CF4"/>
    <w:multiLevelType w:val="hybridMultilevel"/>
    <w:tmpl w:val="00540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95EE9"/>
    <w:multiLevelType w:val="hybridMultilevel"/>
    <w:tmpl w:val="DB18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8192C"/>
    <w:multiLevelType w:val="hybridMultilevel"/>
    <w:tmpl w:val="DC50A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A90505"/>
    <w:multiLevelType w:val="hybridMultilevel"/>
    <w:tmpl w:val="64F69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E2"/>
    <w:rsid w:val="00067EE3"/>
    <w:rsid w:val="000B5180"/>
    <w:rsid w:val="00127FAE"/>
    <w:rsid w:val="001E7C14"/>
    <w:rsid w:val="002038A1"/>
    <w:rsid w:val="002558AD"/>
    <w:rsid w:val="002D3110"/>
    <w:rsid w:val="00311B0E"/>
    <w:rsid w:val="003426AA"/>
    <w:rsid w:val="00357432"/>
    <w:rsid w:val="003B0A1A"/>
    <w:rsid w:val="004124D8"/>
    <w:rsid w:val="0042193C"/>
    <w:rsid w:val="00445FB7"/>
    <w:rsid w:val="00454E8B"/>
    <w:rsid w:val="0050119E"/>
    <w:rsid w:val="00546AA4"/>
    <w:rsid w:val="00582FC6"/>
    <w:rsid w:val="00595CDF"/>
    <w:rsid w:val="005D5F73"/>
    <w:rsid w:val="00603C22"/>
    <w:rsid w:val="0062705D"/>
    <w:rsid w:val="006A15E0"/>
    <w:rsid w:val="006D2FA7"/>
    <w:rsid w:val="00707E73"/>
    <w:rsid w:val="0072046B"/>
    <w:rsid w:val="007504BF"/>
    <w:rsid w:val="00861DFF"/>
    <w:rsid w:val="00862B0B"/>
    <w:rsid w:val="0086388F"/>
    <w:rsid w:val="00880E98"/>
    <w:rsid w:val="008B449B"/>
    <w:rsid w:val="008C4518"/>
    <w:rsid w:val="008E18E2"/>
    <w:rsid w:val="008F5E26"/>
    <w:rsid w:val="009907B4"/>
    <w:rsid w:val="009B4ED7"/>
    <w:rsid w:val="009E01FE"/>
    <w:rsid w:val="009E4882"/>
    <w:rsid w:val="009F4362"/>
    <w:rsid w:val="00A1386F"/>
    <w:rsid w:val="00A154C4"/>
    <w:rsid w:val="00AA7C09"/>
    <w:rsid w:val="00AE1A09"/>
    <w:rsid w:val="00B714D0"/>
    <w:rsid w:val="00C03E50"/>
    <w:rsid w:val="00C231BF"/>
    <w:rsid w:val="00C46F9B"/>
    <w:rsid w:val="00C77023"/>
    <w:rsid w:val="00CE61E1"/>
    <w:rsid w:val="00D8371D"/>
    <w:rsid w:val="00E35F47"/>
    <w:rsid w:val="00E71827"/>
    <w:rsid w:val="00EB0D67"/>
    <w:rsid w:val="00ED28FF"/>
    <w:rsid w:val="00FA5E5E"/>
    <w:rsid w:val="00FC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54942C"/>
  <w15:chartTrackingRefBased/>
  <w15:docId w15:val="{C1024451-0340-430D-B55A-34506F03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1BF"/>
    <w:pPr>
      <w:ind w:left="720"/>
      <w:contextualSpacing/>
    </w:pPr>
  </w:style>
  <w:style w:type="paragraph" w:styleId="FootnoteText">
    <w:name w:val="footnote text"/>
    <w:basedOn w:val="Normal"/>
    <w:link w:val="FootnoteTextChar"/>
    <w:uiPriority w:val="99"/>
    <w:semiHidden/>
    <w:unhideWhenUsed/>
    <w:rsid w:val="00C46F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F9B"/>
    <w:rPr>
      <w:sz w:val="20"/>
      <w:szCs w:val="20"/>
    </w:rPr>
  </w:style>
  <w:style w:type="character" w:styleId="FootnoteReference">
    <w:name w:val="footnote reference"/>
    <w:basedOn w:val="DefaultParagraphFont"/>
    <w:uiPriority w:val="99"/>
    <w:semiHidden/>
    <w:unhideWhenUsed/>
    <w:rsid w:val="00C46F9B"/>
    <w:rPr>
      <w:vertAlign w:val="superscript"/>
    </w:rPr>
  </w:style>
  <w:style w:type="paragraph" w:styleId="NormalWeb">
    <w:name w:val="Normal (Web)"/>
    <w:basedOn w:val="Normal"/>
    <w:uiPriority w:val="99"/>
    <w:semiHidden/>
    <w:unhideWhenUsed/>
    <w:rsid w:val="00C46F9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E01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1FE"/>
    <w:rPr>
      <w:rFonts w:ascii="Segoe UI" w:hAnsi="Segoe UI" w:cs="Segoe UI"/>
      <w:sz w:val="18"/>
      <w:szCs w:val="18"/>
    </w:rPr>
  </w:style>
  <w:style w:type="character" w:styleId="Hyperlink">
    <w:name w:val="Hyperlink"/>
    <w:basedOn w:val="DefaultParagraphFont"/>
    <w:uiPriority w:val="99"/>
    <w:unhideWhenUsed/>
    <w:rsid w:val="00127FAE"/>
    <w:rPr>
      <w:color w:val="0563C1" w:themeColor="hyperlink"/>
      <w:u w:val="single"/>
    </w:rPr>
  </w:style>
  <w:style w:type="table" w:styleId="GridTable1Light">
    <w:name w:val="Grid Table 1 Light"/>
    <w:basedOn w:val="TableNormal"/>
    <w:uiPriority w:val="46"/>
    <w:rsid w:val="00067EE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42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6AA"/>
  </w:style>
  <w:style w:type="paragraph" w:styleId="Footer">
    <w:name w:val="footer"/>
    <w:basedOn w:val="Normal"/>
    <w:link w:val="FooterChar"/>
    <w:uiPriority w:val="99"/>
    <w:unhideWhenUsed/>
    <w:rsid w:val="00342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30245">
      <w:bodyDiv w:val="1"/>
      <w:marLeft w:val="0"/>
      <w:marRight w:val="0"/>
      <w:marTop w:val="0"/>
      <w:marBottom w:val="0"/>
      <w:divBdr>
        <w:top w:val="none" w:sz="0" w:space="0" w:color="auto"/>
        <w:left w:val="none" w:sz="0" w:space="0" w:color="auto"/>
        <w:bottom w:val="none" w:sz="0" w:space="0" w:color="auto"/>
        <w:right w:val="none" w:sz="0" w:space="0" w:color="auto"/>
      </w:divBdr>
    </w:div>
    <w:div w:id="132212318">
      <w:bodyDiv w:val="1"/>
      <w:marLeft w:val="0"/>
      <w:marRight w:val="0"/>
      <w:marTop w:val="0"/>
      <w:marBottom w:val="0"/>
      <w:divBdr>
        <w:top w:val="none" w:sz="0" w:space="0" w:color="auto"/>
        <w:left w:val="none" w:sz="0" w:space="0" w:color="auto"/>
        <w:bottom w:val="none" w:sz="0" w:space="0" w:color="auto"/>
        <w:right w:val="none" w:sz="0" w:space="0" w:color="auto"/>
      </w:divBdr>
    </w:div>
    <w:div w:id="393550987">
      <w:bodyDiv w:val="1"/>
      <w:marLeft w:val="0"/>
      <w:marRight w:val="0"/>
      <w:marTop w:val="0"/>
      <w:marBottom w:val="0"/>
      <w:divBdr>
        <w:top w:val="none" w:sz="0" w:space="0" w:color="auto"/>
        <w:left w:val="none" w:sz="0" w:space="0" w:color="auto"/>
        <w:bottom w:val="none" w:sz="0" w:space="0" w:color="auto"/>
        <w:right w:val="none" w:sz="0" w:space="0" w:color="auto"/>
      </w:divBdr>
    </w:div>
    <w:div w:id="1086879287">
      <w:bodyDiv w:val="1"/>
      <w:marLeft w:val="0"/>
      <w:marRight w:val="0"/>
      <w:marTop w:val="0"/>
      <w:marBottom w:val="0"/>
      <w:divBdr>
        <w:top w:val="none" w:sz="0" w:space="0" w:color="auto"/>
        <w:left w:val="none" w:sz="0" w:space="0" w:color="auto"/>
        <w:bottom w:val="none" w:sz="0" w:space="0" w:color="auto"/>
        <w:right w:val="none" w:sz="0" w:space="0" w:color="auto"/>
      </w:divBdr>
    </w:div>
    <w:div w:id="169989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1bn9mgy1uwoyj053x9jofjurzer6i9lu"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app.box.com/s/y8ow0pn9925nr4zjx3rwc0nzgoyo0n0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10</WRIA>
    <Accessibility xmlns="81b753b0-5f84-4476-b087-97d9c3e0d4e3">Completed</Accessibility>
  </documentManagement>
</p:properties>
</file>

<file path=customXml/itemProps1.xml><?xml version="1.0" encoding="utf-8"?>
<ds:datastoreItem xmlns:ds="http://schemas.openxmlformats.org/officeDocument/2006/customXml" ds:itemID="{DA43988A-7D17-427B-9E37-ECB6CECC4D6A}">
  <ds:schemaRefs>
    <ds:schemaRef ds:uri="http://schemas.openxmlformats.org/officeDocument/2006/bibliography"/>
  </ds:schemaRefs>
</ds:datastoreItem>
</file>

<file path=customXml/itemProps2.xml><?xml version="1.0" encoding="utf-8"?>
<ds:datastoreItem xmlns:ds="http://schemas.openxmlformats.org/officeDocument/2006/customXml" ds:itemID="{45AC388E-0038-4E4D-B808-11063084340E}"/>
</file>

<file path=customXml/itemProps3.xml><?xml version="1.0" encoding="utf-8"?>
<ds:datastoreItem xmlns:ds="http://schemas.openxmlformats.org/officeDocument/2006/customXml" ds:itemID="{E3E9F3CC-FFBD-4AE6-8801-BA43E74AB6EF}"/>
</file>

<file path=customXml/itemProps4.xml><?xml version="1.0" encoding="utf-8"?>
<ds:datastoreItem xmlns:ds="http://schemas.openxmlformats.org/officeDocument/2006/customXml" ds:itemID="{3DA426B1-6167-4A08-88EA-5DEB2F6E012B}"/>
</file>

<file path=docProps/app.xml><?xml version="1.0" encoding="utf-8"?>
<Properties xmlns="http://schemas.openxmlformats.org/officeDocument/2006/extended-properties" xmlns:vt="http://schemas.openxmlformats.org/officeDocument/2006/docPropsVTypes">
  <Template>Normal</Template>
  <TotalTime>17</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Consumptive Use Memo</vt:lpstr>
    </vt:vector>
  </TitlesOfParts>
  <Company>WA Department of Ecology</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Consumptive Use Recommendation</dc:title>
  <dc:subject/>
  <dc:creator>Brown, Rebecca (ECY)</dc:creator>
  <cp:keywords>WRIA 10, Puyallup White, Consumptive Use</cp:keywords>
  <dc:description/>
  <cp:lastModifiedBy>Brown, Rebecca (ECY)</cp:lastModifiedBy>
  <cp:revision>8</cp:revision>
  <cp:lastPrinted>2019-10-30T22:17:00Z</cp:lastPrinted>
  <dcterms:created xsi:type="dcterms:W3CDTF">2020-02-26T18:06:00Z</dcterms:created>
  <dcterms:modified xsi:type="dcterms:W3CDTF">2020-02-26T22:55:00Z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