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B9CA891" w:rsidR="00312A3A" w:rsidRPr="00B40ACF" w:rsidRDefault="00312A3A" w:rsidP="00AD4D35">
      <w:pPr>
        <w:pStyle w:val="Heading1"/>
      </w:pPr>
      <w:bookmarkStart w:id="0" w:name="_GoBack"/>
      <w:bookmarkEnd w:id="0"/>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5F487B63" w:rsidR="0044453B" w:rsidRPr="00033AB7" w:rsidRDefault="004666FD" w:rsidP="00AD4D35">
      <w:pPr>
        <w:pStyle w:val="Sub-titlestyle"/>
        <w:spacing w:after="240"/>
        <w:rPr>
          <w:color w:val="44688F"/>
        </w:rPr>
      </w:pPr>
      <w:r>
        <w:rPr>
          <w:color w:val="44688F"/>
        </w:rPr>
        <w:t>June 3</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1C32CE21"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641A9A42" w14:textId="2E1383B7" w:rsidR="000D674A" w:rsidRDefault="000D674A" w:rsidP="004247D3">
      <w:pPr>
        <w:rPr>
          <w:rFonts w:ascii="Franklin Gothic Book" w:hAnsi="Franklin Gothic Book"/>
          <w:color w:val="FFFFFF" w:themeColor="background1"/>
        </w:rPr>
      </w:pPr>
      <w:r>
        <w:rPr>
          <w:rFonts w:ascii="Franklin Gothic Book" w:hAnsi="Franklin Gothic Book"/>
          <w:color w:val="FFFFFF" w:themeColor="background1"/>
        </w:rPr>
        <w:t>Policy and Regulatory Status</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4B8E7E31" w14:textId="77777777" w:rsidR="001562B8" w:rsidRPr="000E1DB9" w:rsidRDefault="001562B8" w:rsidP="001562B8">
      <w:pPr>
        <w:spacing w:line="257" w:lineRule="auto"/>
      </w:pPr>
      <w:r w:rsidRPr="000E1DB9">
        <w:t>Lisa Tobin (City of Auburn)</w:t>
      </w:r>
    </w:p>
    <w:p w14:paraId="348BECDA" w14:textId="77777777" w:rsidR="001562B8" w:rsidRPr="000E1DB9" w:rsidRDefault="001562B8" w:rsidP="001562B8">
      <w:pPr>
        <w:spacing w:line="257" w:lineRule="auto"/>
      </w:pPr>
      <w:r w:rsidRPr="000E1DB9">
        <w:t>Dan Cardwell (Pierce County)</w:t>
      </w:r>
    </w:p>
    <w:p w14:paraId="770A32DF" w14:textId="77777777" w:rsidR="001562B8" w:rsidRPr="000E1DB9" w:rsidRDefault="001562B8" w:rsidP="001562B8">
      <w:pPr>
        <w:spacing w:line="257" w:lineRule="auto"/>
      </w:pPr>
      <w:r w:rsidRPr="000E1DB9">
        <w:t>Austin Jennings (Pierce County, Alternate)</w:t>
      </w:r>
    </w:p>
    <w:p w14:paraId="27A014AE" w14:textId="77777777" w:rsidR="001562B8" w:rsidRPr="000E1DB9" w:rsidRDefault="001562B8" w:rsidP="001562B8">
      <w:pPr>
        <w:spacing w:line="257" w:lineRule="auto"/>
      </w:pPr>
      <w:r w:rsidRPr="000E1DB9">
        <w:t>Jeremy Metzler (City of Edgewood)</w:t>
      </w:r>
    </w:p>
    <w:p w14:paraId="43463253" w14:textId="0DD8681B" w:rsidR="001562B8" w:rsidRPr="000E1DB9" w:rsidRDefault="004666FD" w:rsidP="001562B8">
      <w:pPr>
        <w:spacing w:line="257" w:lineRule="auto"/>
      </w:pPr>
      <w:r w:rsidRPr="000E1DB9">
        <w:t>Paul Marrinan</w:t>
      </w:r>
      <w:r w:rsidR="001562B8" w:rsidRPr="000E1DB9">
        <w:t xml:space="preserve"> (City of Puyallup)</w:t>
      </w:r>
    </w:p>
    <w:p w14:paraId="77056F31" w14:textId="77777777" w:rsidR="001562B8" w:rsidRPr="000E1DB9" w:rsidRDefault="001562B8" w:rsidP="001562B8">
      <w:pPr>
        <w:spacing w:line="257" w:lineRule="auto"/>
      </w:pPr>
      <w:r w:rsidRPr="000E1DB9">
        <w:t>Robert Wright (City of Sumner)</w:t>
      </w:r>
    </w:p>
    <w:p w14:paraId="1B32A254" w14:textId="77777777" w:rsidR="001562B8" w:rsidRPr="000E1DB9" w:rsidRDefault="001562B8" w:rsidP="001562B8">
      <w:pPr>
        <w:spacing w:line="257" w:lineRule="auto"/>
      </w:pPr>
      <w:r w:rsidRPr="000E1DB9">
        <w:t>Jessie Gamble (MBA Pierce County)</w:t>
      </w:r>
    </w:p>
    <w:p w14:paraId="008A2F3C" w14:textId="2DACE2BE" w:rsidR="001562B8" w:rsidRPr="000E1DB9" w:rsidRDefault="001562B8" w:rsidP="001562B8">
      <w:pPr>
        <w:spacing w:line="257" w:lineRule="auto"/>
      </w:pPr>
      <w:r w:rsidRPr="000E1DB9">
        <w:t>Russ Blount (City of Fife)</w:t>
      </w:r>
    </w:p>
    <w:p w14:paraId="3EF386F2" w14:textId="6E825CB7" w:rsidR="00606A75" w:rsidRPr="000E1DB9" w:rsidRDefault="00606A75" w:rsidP="00606A75">
      <w:pPr>
        <w:spacing w:line="257" w:lineRule="auto"/>
      </w:pPr>
      <w:r w:rsidRPr="000E1DB9">
        <w:t>Greg Reed (City of Fife</w:t>
      </w:r>
      <w:r w:rsidR="004666FD" w:rsidRPr="000E1DB9">
        <w:t>,</w:t>
      </w:r>
      <w:r w:rsidRPr="000E1DB9">
        <w:t xml:space="preserve"> Alternate)</w:t>
      </w:r>
    </w:p>
    <w:p w14:paraId="5042C58C" w14:textId="0B9FF0E2" w:rsidR="001562B8" w:rsidRPr="000E1DB9" w:rsidRDefault="001562B8" w:rsidP="001562B8">
      <w:pPr>
        <w:spacing w:line="257" w:lineRule="auto"/>
      </w:pPr>
      <w:r w:rsidRPr="000E1DB9">
        <w:t>Char Naylor (Puyallup Tribe)</w:t>
      </w:r>
    </w:p>
    <w:p w14:paraId="2CA160E8" w14:textId="77777777" w:rsidR="001562B8" w:rsidRPr="000E1DB9" w:rsidRDefault="001562B8" w:rsidP="001562B8">
      <w:pPr>
        <w:spacing w:line="257" w:lineRule="auto"/>
      </w:pPr>
      <w:r w:rsidRPr="000E1DB9">
        <w:t>Rebecca Brown, Chair (Ecology)</w:t>
      </w:r>
    </w:p>
    <w:p w14:paraId="460F6971" w14:textId="77777777" w:rsidR="001562B8" w:rsidRPr="000E1DB9" w:rsidRDefault="001562B8" w:rsidP="001562B8">
      <w:pPr>
        <w:spacing w:line="257" w:lineRule="auto"/>
      </w:pPr>
      <w:r w:rsidRPr="000E1DB9">
        <w:t>Liz Bockstiegel (WDFW)</w:t>
      </w:r>
    </w:p>
    <w:p w14:paraId="584CE0A0" w14:textId="77777777" w:rsidR="001562B8" w:rsidRPr="000E1DB9" w:rsidRDefault="001562B8" w:rsidP="001562B8">
      <w:pPr>
        <w:spacing w:line="257" w:lineRule="auto"/>
      </w:pPr>
      <w:r w:rsidRPr="000E1DB9">
        <w:t>Merita Trohimovich (City of Tacoma)</w:t>
      </w:r>
    </w:p>
    <w:p w14:paraId="18524C65" w14:textId="1A960342" w:rsidR="001562B8" w:rsidRPr="000E1DB9" w:rsidRDefault="00AD657D" w:rsidP="001562B8">
      <w:r w:rsidRPr="000E1DB9">
        <w:t>Scott Woodbury (City of Enumclaw)</w:t>
      </w:r>
    </w:p>
    <w:p w14:paraId="34559817" w14:textId="77777777" w:rsidR="004E330F" w:rsidRPr="000E1DB9" w:rsidRDefault="00606A75" w:rsidP="004E330F">
      <w:pPr>
        <w:spacing w:line="257" w:lineRule="auto"/>
      </w:pPr>
      <w:r w:rsidRPr="000E1DB9">
        <w:t>Jim Morgan (City of Pacific)</w:t>
      </w:r>
    </w:p>
    <w:p w14:paraId="708428B2" w14:textId="622594EE" w:rsidR="004E330F" w:rsidRPr="000E1DB9" w:rsidRDefault="004E330F" w:rsidP="004E330F">
      <w:pPr>
        <w:spacing w:line="257" w:lineRule="auto"/>
      </w:pPr>
      <w:r w:rsidRPr="000E1DB9">
        <w:t>Lisa Spurrier, ex officio (Salmon Recovery Lead Entity)</w:t>
      </w:r>
    </w:p>
    <w:p w14:paraId="56CF5689" w14:textId="49948712" w:rsidR="004666FD" w:rsidRPr="000E1DB9" w:rsidRDefault="004666FD" w:rsidP="004E330F">
      <w:pPr>
        <w:spacing w:line="257" w:lineRule="auto"/>
      </w:pPr>
      <w:r w:rsidRPr="000E1DB9">
        <w:t>Ryan Johnstone (City of Bonney Lake)</w:t>
      </w:r>
    </w:p>
    <w:p w14:paraId="620EAB9B" w14:textId="1C623B33" w:rsidR="004666FD" w:rsidRPr="000E1DB9" w:rsidRDefault="004666FD" w:rsidP="004E330F">
      <w:pPr>
        <w:spacing w:line="257" w:lineRule="auto"/>
      </w:pPr>
      <w:r w:rsidRPr="000E1DB9">
        <w:t>Tim Osborne (Lakehaven Water and Sewer District)</w:t>
      </w:r>
    </w:p>
    <w:p w14:paraId="7F85E20C" w14:textId="197AB684" w:rsidR="004666FD" w:rsidRDefault="004666FD" w:rsidP="004E330F">
      <w:pPr>
        <w:spacing w:line="257" w:lineRule="auto"/>
      </w:pPr>
      <w:r w:rsidRPr="000E1DB9">
        <w:t>Carrie Her</w:t>
      </w:r>
      <w:r w:rsidR="00583B20" w:rsidRPr="000E1DB9">
        <w:t>nandez (Puyallup River Watershed Council)</w:t>
      </w:r>
    </w:p>
    <w:p w14:paraId="0807A983" w14:textId="00DA2613" w:rsidR="00606A75" w:rsidRDefault="00606A75" w:rsidP="001562B8"/>
    <w:p w14:paraId="4BF36312" w14:textId="77777777" w:rsidR="004E330F" w:rsidRPr="001A0E36" w:rsidRDefault="004E330F" w:rsidP="001562B8">
      <w:pPr>
        <w:sectPr w:rsidR="004E330F" w:rsidRPr="001A0E36" w:rsidSect="00E64E5E">
          <w:type w:val="continuous"/>
          <w:pgSz w:w="12240" w:h="15840"/>
          <w:pgMar w:top="1080" w:right="1440" w:bottom="720" w:left="1440" w:header="720" w:footer="720" w:gutter="0"/>
          <w:cols w:num="2" w:space="720"/>
          <w:docGrid w:linePitch="360"/>
        </w:sectPr>
      </w:pP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703DC47D" w14:textId="180BB94A" w:rsidR="00DA3788" w:rsidRDefault="00DA3788" w:rsidP="001562B8">
      <w:pPr>
        <w:spacing w:line="257" w:lineRule="auto"/>
      </w:pPr>
      <w:r w:rsidRPr="00DA3788">
        <w:t>Muckleshoot Tribe</w:t>
      </w:r>
    </w:p>
    <w:p w14:paraId="65D27DB8" w14:textId="44B4BF96" w:rsidR="001562B8" w:rsidRPr="001A0E36" w:rsidRDefault="004666FD" w:rsidP="001562B8">
      <w:pPr>
        <w:spacing w:line="257" w:lineRule="auto"/>
      </w:pPr>
      <w:r w:rsidRPr="00DA3788">
        <w:t>Pierce Conservation District</w:t>
      </w:r>
    </w:p>
    <w:p w14:paraId="15C45CBB" w14:textId="77777777" w:rsidR="001562B8" w:rsidRPr="001A0E36" w:rsidRDefault="001562B8" w:rsidP="001562B8">
      <w:pPr>
        <w:spacing w:line="257" w:lineRule="auto"/>
        <w:rPr>
          <w:rFonts w:ascii="Calibri Light" w:hAnsi="Calibri Light" w:cs="Calibri Light"/>
          <w:color w:val="2E74B5" w:themeColor="accent1" w:themeShade="BF"/>
          <w:sz w:val="24"/>
        </w:rPr>
        <w:sectPr w:rsidR="001562B8" w:rsidRPr="001A0E36" w:rsidSect="004658FD">
          <w:type w:val="continuous"/>
          <w:pgSz w:w="12240" w:h="15840"/>
          <w:pgMar w:top="1080" w:right="1440" w:bottom="720" w:left="1440" w:header="720" w:footer="720" w:gutter="0"/>
          <w:cols w:num="2" w:space="720"/>
          <w:docGrid w:linePitch="360"/>
        </w:sectPr>
      </w:pPr>
    </w:p>
    <w:p w14:paraId="29262928" w14:textId="77777777" w:rsidR="001562B8" w:rsidRPr="001A0E36" w:rsidRDefault="001562B8" w:rsidP="001562B8">
      <w:pPr>
        <w:spacing w:line="257" w:lineRule="auto"/>
        <w:rPr>
          <w:rFonts w:ascii="Calibri Light" w:hAnsi="Calibri Light" w:cs="Calibri Light"/>
          <w:color w:val="2E74B5" w:themeColor="accent1" w:themeShade="BF"/>
          <w:sz w:val="24"/>
        </w:r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D60058">
          <w:type w:val="continuous"/>
          <w:pgSz w:w="12240" w:h="15840"/>
          <w:pgMar w:top="1080" w:right="1440" w:bottom="720" w:left="1440" w:header="720" w:footer="720" w:gutter="0"/>
          <w:cols w:space="720"/>
          <w:docGrid w:linePitch="360"/>
        </w:sectPr>
      </w:pPr>
    </w:p>
    <w:p w14:paraId="5798A8CA" w14:textId="77777777" w:rsidR="001562B8" w:rsidRPr="001A0E36" w:rsidRDefault="001562B8" w:rsidP="001562B8">
      <w:pPr>
        <w:spacing w:line="257" w:lineRule="auto"/>
      </w:pPr>
      <w:r w:rsidRPr="001A0E36">
        <w:t>Spencer Easton (ESA, Facilitator)</w:t>
      </w:r>
    </w:p>
    <w:p w14:paraId="169028E0" w14:textId="77777777" w:rsidR="001562B8" w:rsidRDefault="001562B8" w:rsidP="001562B8">
      <w:pPr>
        <w:spacing w:line="257" w:lineRule="auto"/>
      </w:pPr>
      <w:r w:rsidRPr="001A0E36">
        <w:t>Madeline Remmen (ESA, Information Manager)</w:t>
      </w:r>
    </w:p>
    <w:p w14:paraId="337CC489" w14:textId="77777777" w:rsidR="001562B8" w:rsidRDefault="001562B8" w:rsidP="001562B8">
      <w:pPr>
        <w:spacing w:line="257" w:lineRule="auto"/>
      </w:pPr>
      <w:r>
        <w:t>Matt Rakow (WA Dept. of Ecology)</w:t>
      </w:r>
    </w:p>
    <w:p w14:paraId="548C8739" w14:textId="77777777" w:rsidR="001562B8" w:rsidRDefault="001562B8" w:rsidP="001562B8">
      <w:pPr>
        <w:spacing w:line="257" w:lineRule="auto"/>
      </w:pPr>
      <w:r>
        <w:t>Bob Montgomery (HDR)</w:t>
      </w:r>
    </w:p>
    <w:p w14:paraId="793EC559" w14:textId="77777777" w:rsidR="001562B8" w:rsidRPr="001A0E36" w:rsidRDefault="001562B8" w:rsidP="001562B8">
      <w:pPr>
        <w:spacing w:line="257" w:lineRule="auto"/>
      </w:pPr>
      <w:r w:rsidRPr="001A0E36">
        <w:t>Angela Johnson (WA Dept. of Ecology)</w:t>
      </w:r>
    </w:p>
    <w:p w14:paraId="0BF15EFE" w14:textId="1FC88A19" w:rsidR="001562B8" w:rsidRDefault="001562B8" w:rsidP="001562B8">
      <w:pPr>
        <w:spacing w:line="257" w:lineRule="auto"/>
      </w:pPr>
      <w:r>
        <w:t>Mike Noone (WA Dept. of Ecology)</w:t>
      </w:r>
    </w:p>
    <w:p w14:paraId="6B3B9525" w14:textId="366351C6" w:rsidR="004E330F" w:rsidRDefault="004E330F" w:rsidP="001562B8">
      <w:pPr>
        <w:spacing w:line="257" w:lineRule="auto"/>
      </w:pPr>
      <w:r>
        <w:t xml:space="preserve">Michelle Harris </w:t>
      </w:r>
      <w:r w:rsidR="00AE4182">
        <w:t>(TPCHD)</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E64E5E">
          <w:type w:val="continuous"/>
          <w:pgSz w:w="12240" w:h="15840"/>
          <w:pgMar w:top="1080" w:right="1440" w:bottom="720" w:left="1440" w:header="720" w:footer="720" w:gutter="0"/>
          <w:cols w:num="2" w:space="720"/>
          <w:docGrid w:linePitch="360"/>
        </w:sectPr>
      </w:pPr>
    </w:p>
    <w:p w14:paraId="619B26B1" w14:textId="7681A0A5" w:rsidR="001562B8" w:rsidRPr="001A0E36" w:rsidRDefault="001562B8" w:rsidP="001562B8">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 xml:space="preserve">*Attendees list is based on </w:t>
      </w:r>
      <w:r>
        <w:rPr>
          <w:rFonts w:asciiTheme="majorHAnsi" w:eastAsiaTheme="majorEastAsia" w:hAnsiTheme="majorHAnsi" w:cstheme="majorBidi"/>
          <w:color w:val="2E74B5" w:themeColor="accent1" w:themeShade="BF"/>
          <w:sz w:val="26"/>
          <w:szCs w:val="26"/>
        </w:rPr>
        <w:t>roll call and WebEx attendees list</w:t>
      </w:r>
      <w:r w:rsidRPr="001A0E36">
        <w:rPr>
          <w:rFonts w:asciiTheme="majorHAnsi" w:eastAsiaTheme="majorEastAsia" w:hAnsiTheme="majorHAnsi" w:cstheme="majorBidi"/>
          <w:color w:val="2E74B5" w:themeColor="accent1" w:themeShade="BF"/>
          <w:sz w:val="26"/>
          <w:szCs w:val="26"/>
        </w:rPr>
        <w:t>.</w:t>
      </w:r>
    </w:p>
    <w:p w14:paraId="18284FDC" w14:textId="77777777" w:rsidR="001562B8" w:rsidRPr="001A0E36" w:rsidRDefault="001562B8" w:rsidP="001562B8"/>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7CE92947" w:rsidR="001562B8" w:rsidRPr="001A0E36" w:rsidRDefault="00583B20" w:rsidP="001562B8">
      <w:r>
        <w:t>The May</w:t>
      </w:r>
      <w:r w:rsidR="001562B8">
        <w:t xml:space="preserve"> meeting summary was approved.</w:t>
      </w:r>
    </w:p>
    <w:p w14:paraId="36D33D8D" w14:textId="77777777" w:rsidR="001562B8" w:rsidRDefault="001562B8" w:rsidP="001562B8">
      <w:pPr>
        <w:pStyle w:val="Heading2"/>
      </w:pPr>
      <w:r w:rsidRPr="00795A07">
        <w:t>Updates and Announcements</w:t>
      </w:r>
    </w:p>
    <w:p w14:paraId="401459A3" w14:textId="4FBB5C76" w:rsidR="00583B20" w:rsidRDefault="00583B20" w:rsidP="001562B8">
      <w:pPr>
        <w:numPr>
          <w:ilvl w:val="0"/>
          <w:numId w:val="28"/>
        </w:numPr>
        <w:contextualSpacing/>
      </w:pPr>
      <w:r>
        <w:t>The committee will continue to meet online due to COVID-</w:t>
      </w:r>
      <w:r w:rsidR="004969D4">
        <w:t>19. S</w:t>
      </w:r>
      <w:r w:rsidR="007826EE">
        <w:t xml:space="preserve">ome committee member’s ability to participate has </w:t>
      </w:r>
      <w:r>
        <w:t xml:space="preserve">been impacted due to the pandemic. </w:t>
      </w:r>
      <w:r w:rsidR="00844D21">
        <w:t xml:space="preserve">If you are unable </w:t>
      </w:r>
      <w:r w:rsidR="004969D4">
        <w:t>to participate let Rebecca know;</w:t>
      </w:r>
      <w:r w:rsidR="00844D21">
        <w:t xml:space="preserve"> Ecology is tracking committee members impacted by COVID-19.</w:t>
      </w:r>
    </w:p>
    <w:p w14:paraId="00B077FA" w14:textId="7549ADEA" w:rsidR="001562B8" w:rsidRDefault="00844D21" w:rsidP="001562B8">
      <w:pPr>
        <w:numPr>
          <w:ilvl w:val="0"/>
          <w:numId w:val="28"/>
        </w:numPr>
        <w:contextualSpacing/>
      </w:pPr>
      <w:r>
        <w:t xml:space="preserve">Ecology planners met with the Puyallup tribe to discuss coordination between the </w:t>
      </w:r>
      <w:r w:rsidR="007826EE">
        <w:t>three WRIAs they participate in, provide status updates on each committee and address any questions.</w:t>
      </w:r>
    </w:p>
    <w:p w14:paraId="4844EB9F" w14:textId="03CD9082" w:rsidR="00844D21" w:rsidRDefault="00844D21" w:rsidP="00844D21">
      <w:pPr>
        <w:numPr>
          <w:ilvl w:val="1"/>
          <w:numId w:val="28"/>
        </w:numPr>
        <w:contextualSpacing/>
      </w:pPr>
      <w:r>
        <w:t>Any committee member can request a meeting Ecology about the planning process.</w:t>
      </w:r>
    </w:p>
    <w:p w14:paraId="59D86EBC" w14:textId="7148576B" w:rsidR="006F69A8" w:rsidRDefault="006F69A8" w:rsidP="006F69A8">
      <w:pPr>
        <w:numPr>
          <w:ilvl w:val="0"/>
          <w:numId w:val="28"/>
        </w:numPr>
        <w:contextualSpacing/>
      </w:pPr>
      <w:r>
        <w:lastRenderedPageBreak/>
        <w:t>Rebecca gav</w:t>
      </w:r>
      <w:r w:rsidR="004969D4">
        <w:t>e an update on the grant round. T</w:t>
      </w:r>
      <w:r>
        <w:t xml:space="preserve">here were a total of 63 applications and </w:t>
      </w:r>
      <w:r w:rsidR="000D674A">
        <w:t>$</w:t>
      </w:r>
      <w:r>
        <w:t xml:space="preserve">88 million in requests. Two of the projects were located in WRIA 10. </w:t>
      </w:r>
    </w:p>
    <w:p w14:paraId="002D750A" w14:textId="6B44EF36" w:rsidR="006F69A8" w:rsidRDefault="006F69A8" w:rsidP="006F69A8">
      <w:pPr>
        <w:numPr>
          <w:ilvl w:val="0"/>
          <w:numId w:val="28"/>
        </w:numPr>
        <w:contextualSpacing/>
      </w:pPr>
      <w:r>
        <w:t xml:space="preserve">Rebecca presented a status summary of where the committee is in the planning process and </w:t>
      </w:r>
      <w:r w:rsidR="007826EE">
        <w:t xml:space="preserve">a </w:t>
      </w:r>
      <w:r>
        <w:t>handout with the information was included in the meeting packet.</w:t>
      </w:r>
    </w:p>
    <w:p w14:paraId="254DA940" w14:textId="682CC341" w:rsidR="00FC0E98" w:rsidRDefault="00FC0E98" w:rsidP="006F69A8">
      <w:pPr>
        <w:numPr>
          <w:ilvl w:val="0"/>
          <w:numId w:val="28"/>
        </w:numPr>
        <w:contextualSpacing/>
      </w:pPr>
      <w:r>
        <w:t>Rebecca walked through the changes made</w:t>
      </w:r>
      <w:r w:rsidR="00B507B6">
        <w:t xml:space="preserve"> to the WRIA 1 withdrawal limit</w:t>
      </w:r>
      <w:r w:rsidR="003C6DD2">
        <w:t>.</w:t>
      </w:r>
    </w:p>
    <w:p w14:paraId="70285A41" w14:textId="67DD6006" w:rsidR="00FD6887" w:rsidRDefault="00FC0E98" w:rsidP="00FC0E98">
      <w:pPr>
        <w:numPr>
          <w:ilvl w:val="1"/>
          <w:numId w:val="28"/>
        </w:numPr>
        <w:contextualSpacing/>
      </w:pPr>
      <w:r>
        <w:t xml:space="preserve">Committee member had questions regarding </w:t>
      </w:r>
      <w:r w:rsidR="00FD6887">
        <w:t>the following</w:t>
      </w:r>
      <w:r w:rsidR="003C6DD2">
        <w:t>:</w:t>
      </w:r>
    </w:p>
    <w:p w14:paraId="45258208" w14:textId="48CBD15F" w:rsidR="00FC0E98" w:rsidRDefault="00FD6887" w:rsidP="00FD6887">
      <w:pPr>
        <w:numPr>
          <w:ilvl w:val="2"/>
          <w:numId w:val="28"/>
        </w:numPr>
        <w:contextualSpacing/>
      </w:pPr>
      <w:r>
        <w:t>W</w:t>
      </w:r>
      <w:r w:rsidR="00FC0E98">
        <w:t xml:space="preserve">hy this committee </w:t>
      </w:r>
      <w:r>
        <w:t>was not able to come to consensus.</w:t>
      </w:r>
    </w:p>
    <w:p w14:paraId="4E2C0872" w14:textId="10CD8CFE" w:rsidR="00FD6887" w:rsidRDefault="00FD6887" w:rsidP="00FD6887">
      <w:pPr>
        <w:numPr>
          <w:ilvl w:val="2"/>
          <w:numId w:val="28"/>
        </w:numPr>
        <w:contextualSpacing/>
      </w:pPr>
      <w:r>
        <w:t xml:space="preserve">How </w:t>
      </w:r>
      <w:r w:rsidR="000D674A">
        <w:t>are ADU’s are addressed?</w:t>
      </w:r>
    </w:p>
    <w:p w14:paraId="4D4FD454" w14:textId="572EEE70" w:rsidR="001562B8" w:rsidRDefault="00172BC7" w:rsidP="001562B8">
      <w:pPr>
        <w:pStyle w:val="Heading2"/>
      </w:pPr>
      <w:r>
        <w:t>Public Comment</w:t>
      </w:r>
    </w:p>
    <w:p w14:paraId="3281534E" w14:textId="77777777" w:rsidR="00172BC7" w:rsidRPr="00172BC7" w:rsidRDefault="00172BC7" w:rsidP="00172BC7">
      <w:pPr>
        <w:numPr>
          <w:ilvl w:val="0"/>
          <w:numId w:val="28"/>
        </w:numPr>
        <w:spacing w:after="160" w:line="259" w:lineRule="auto"/>
        <w:contextualSpacing/>
        <w:rPr>
          <w:rFonts w:eastAsia="Calibri"/>
          <w:b/>
        </w:rPr>
      </w:pPr>
      <w:r w:rsidRPr="00172BC7">
        <w:rPr>
          <w:rFonts w:eastAsia="Calibri"/>
        </w:rPr>
        <w:t>No members of public comment on the phone</w:t>
      </w:r>
    </w:p>
    <w:p w14:paraId="78A5163A" w14:textId="72FC1D12" w:rsidR="001562B8" w:rsidRPr="00172BC7" w:rsidRDefault="00172BC7" w:rsidP="00172BC7">
      <w:pPr>
        <w:numPr>
          <w:ilvl w:val="0"/>
          <w:numId w:val="28"/>
        </w:numPr>
        <w:spacing w:after="160" w:line="259" w:lineRule="auto"/>
        <w:contextualSpacing/>
        <w:rPr>
          <w:rFonts w:eastAsia="Calibri"/>
          <w:b/>
        </w:rPr>
      </w:pPr>
      <w:r w:rsidRPr="00172BC7">
        <w:rPr>
          <w:rFonts w:eastAsia="Calibri"/>
        </w:rPr>
        <w:t>N/A no public comments</w:t>
      </w:r>
      <w:r w:rsidR="001562B8">
        <w:t>.</w:t>
      </w:r>
    </w:p>
    <w:p w14:paraId="7052A2FB" w14:textId="46073AD9" w:rsidR="001562B8" w:rsidRDefault="001562B8" w:rsidP="001562B8">
      <w:pPr>
        <w:pStyle w:val="Heading2"/>
      </w:pPr>
      <w:r>
        <w:t>P</w:t>
      </w:r>
      <w:r w:rsidR="00172BC7">
        <w:t>olicy and Regulatory Considerations</w:t>
      </w:r>
    </w:p>
    <w:p w14:paraId="6F6723E0" w14:textId="00501DE0" w:rsidR="00FD6887" w:rsidRDefault="00FD6887" w:rsidP="004D6A8A">
      <w:pPr>
        <w:contextualSpacing/>
      </w:pPr>
      <w:r>
        <w:t>Spencer gave a brief overview of progress the committee had made in developing policy and regulatory regulations. Today the committee will review proposals from other WRIAs and provide feedback on how and if they could be incorporated into the WRIA 10 plan.</w:t>
      </w:r>
    </w:p>
    <w:p w14:paraId="1C96B98C" w14:textId="231DFA48" w:rsidR="00FD6887" w:rsidRDefault="00FD6887" w:rsidP="00FD6887">
      <w:pPr>
        <w:numPr>
          <w:ilvl w:val="0"/>
          <w:numId w:val="28"/>
        </w:numPr>
        <w:contextualSpacing/>
      </w:pPr>
      <w:r>
        <w:t xml:space="preserve">Proposal: </w:t>
      </w:r>
      <w:hyperlink r:id="rId21" w:history="1">
        <w:r w:rsidRPr="00AE73CC">
          <w:rPr>
            <w:rStyle w:val="Hyperlink"/>
          </w:rPr>
          <w:t>Track PE wells</w:t>
        </w:r>
      </w:hyperlink>
      <w:r>
        <w:t>, written by the Snoqualmie Tribe for WRIA 7</w:t>
      </w:r>
      <w:r w:rsidR="003C6DD2">
        <w:t>.</w:t>
      </w:r>
    </w:p>
    <w:p w14:paraId="36F073DF" w14:textId="280FB216" w:rsidR="00C87C17" w:rsidRDefault="00C87C17" w:rsidP="00C87C17">
      <w:pPr>
        <w:numPr>
          <w:ilvl w:val="1"/>
          <w:numId w:val="28"/>
        </w:numPr>
        <w:contextualSpacing/>
      </w:pPr>
      <w:r>
        <w:t>Move this forward for inclusion in the plan, there will be opportunities to make change</w:t>
      </w:r>
      <w:r w:rsidR="003C6DD2">
        <w:t>s</w:t>
      </w:r>
      <w:r>
        <w:t xml:space="preserve"> to the proposal before the plan is finalized.</w:t>
      </w:r>
    </w:p>
    <w:p w14:paraId="1ECC99CF" w14:textId="186D43E1" w:rsidR="00C87C17" w:rsidRDefault="00C87C17" w:rsidP="00C87C17">
      <w:pPr>
        <w:numPr>
          <w:ilvl w:val="0"/>
          <w:numId w:val="28"/>
        </w:numPr>
        <w:contextualSpacing/>
      </w:pPr>
      <w:r>
        <w:t xml:space="preserve">Proposal: </w:t>
      </w:r>
      <w:hyperlink r:id="rId22" w:history="1">
        <w:r w:rsidRPr="00AE73CC">
          <w:rPr>
            <w:rStyle w:val="Hyperlink"/>
          </w:rPr>
          <w:t>South Sound Water Master</w:t>
        </w:r>
      </w:hyperlink>
      <w:r>
        <w:t>, prepared by the Squaxin Island Tribe for the committees they are on (WRIAs 12-15).</w:t>
      </w:r>
    </w:p>
    <w:p w14:paraId="4D7F04A9" w14:textId="33364988" w:rsidR="00C87C17" w:rsidRDefault="00C87C17" w:rsidP="00C87C17">
      <w:pPr>
        <w:numPr>
          <w:ilvl w:val="1"/>
          <w:numId w:val="28"/>
        </w:numPr>
        <w:contextualSpacing/>
      </w:pPr>
      <w:r>
        <w:t>Rebecca has not heard if WRIAs 7-9 have proposed anything similar, but she will check.</w:t>
      </w:r>
    </w:p>
    <w:p w14:paraId="5CDAE55C" w14:textId="77777777" w:rsidR="00CE0BCD" w:rsidRDefault="00BB2DE1" w:rsidP="00C87C17">
      <w:pPr>
        <w:numPr>
          <w:ilvl w:val="1"/>
          <w:numId w:val="28"/>
        </w:numPr>
        <w:contextualSpacing/>
      </w:pPr>
      <w:r>
        <w:t>Committee members discussed what the role of a South Sound Water master would be.</w:t>
      </w:r>
    </w:p>
    <w:p w14:paraId="44AFC3B1" w14:textId="72DEC6FB" w:rsidR="004D6A8A" w:rsidRDefault="00BB2DE1" w:rsidP="00CE0BCD">
      <w:pPr>
        <w:numPr>
          <w:ilvl w:val="2"/>
          <w:numId w:val="28"/>
        </w:numPr>
        <w:contextualSpacing/>
      </w:pPr>
      <w:r>
        <w:t>Some committee m</w:t>
      </w:r>
      <w:r w:rsidR="00CE0BCD">
        <w:t>embers expressed concern about what enforcement would look like.</w:t>
      </w:r>
    </w:p>
    <w:p w14:paraId="67847C66" w14:textId="03A7649A" w:rsidR="00CE0BCD" w:rsidRDefault="00CE0BCD" w:rsidP="00CE0BCD">
      <w:pPr>
        <w:numPr>
          <w:ilvl w:val="2"/>
          <w:numId w:val="28"/>
        </w:numPr>
        <w:contextualSpacing/>
      </w:pPr>
      <w:r>
        <w:t>A committee member stated that they saw the role of the Water Master focusing more on implementation of the plan, with enforcement only being one part of their role.</w:t>
      </w:r>
    </w:p>
    <w:p w14:paraId="47CB0CF6" w14:textId="235B09CE" w:rsidR="00CE0BCD" w:rsidRDefault="00CE0BCD" w:rsidP="00CE0BCD">
      <w:pPr>
        <w:numPr>
          <w:ilvl w:val="1"/>
          <w:numId w:val="28"/>
        </w:numPr>
        <w:contextualSpacing/>
      </w:pPr>
      <w:r>
        <w:t xml:space="preserve">The committee will </w:t>
      </w:r>
      <w:r w:rsidR="000E1DB9">
        <w:t>continue on work with this idea, Rebecca and Spencer will be reaching out to committee members to better understand their positions and concerns.</w:t>
      </w:r>
    </w:p>
    <w:p w14:paraId="7CD19CD6" w14:textId="5C39DADC" w:rsidR="00C87C17" w:rsidRDefault="00C87C17" w:rsidP="00C87C17">
      <w:pPr>
        <w:numPr>
          <w:ilvl w:val="0"/>
          <w:numId w:val="28"/>
        </w:numPr>
        <w:contextualSpacing/>
      </w:pPr>
      <w:r>
        <w:t xml:space="preserve">Proposal: </w:t>
      </w:r>
      <w:hyperlink r:id="rId23" w:history="1">
        <w:r w:rsidRPr="00AE73CC">
          <w:rPr>
            <w:rStyle w:val="Hyperlink"/>
          </w:rPr>
          <w:t>Project tracking</w:t>
        </w:r>
      </w:hyperlink>
      <w:r>
        <w:t xml:space="preserve">, </w:t>
      </w:r>
      <w:r w:rsidR="003C6DD2">
        <w:t xml:space="preserve">as presented by </w:t>
      </w:r>
      <w:r>
        <w:t>WDFW</w:t>
      </w:r>
      <w:r w:rsidR="003C6DD2">
        <w:t xml:space="preserve"> at the May meeting.</w:t>
      </w:r>
    </w:p>
    <w:p w14:paraId="6BE45849" w14:textId="77777777" w:rsidR="003C6DD2" w:rsidRDefault="00C87C17" w:rsidP="00C87C17">
      <w:pPr>
        <w:numPr>
          <w:ilvl w:val="1"/>
          <w:numId w:val="28"/>
        </w:numPr>
        <w:contextualSpacing/>
      </w:pPr>
      <w:r>
        <w:t>A committee member is concerned about the durability of the of the proposal,</w:t>
      </w:r>
      <w:r w:rsidR="00CE0BCD">
        <w:t xml:space="preserve"> stating that</w:t>
      </w:r>
      <w:r>
        <w:t xml:space="preserve"> it doesn’t appear like there has been much thought to how the </w:t>
      </w:r>
      <w:r w:rsidR="00F708FB">
        <w:t>database will be updated in the future</w:t>
      </w:r>
      <w:r w:rsidR="003C6DD2">
        <w:t>.</w:t>
      </w:r>
    </w:p>
    <w:p w14:paraId="16743830" w14:textId="4E3D985A" w:rsidR="00C87C17" w:rsidRDefault="003C6DD2" w:rsidP="003C6DD2">
      <w:pPr>
        <w:numPr>
          <w:ilvl w:val="2"/>
          <w:numId w:val="28"/>
        </w:numPr>
        <w:contextualSpacing/>
      </w:pPr>
      <w:r>
        <w:t>P</w:t>
      </w:r>
      <w:r w:rsidR="00F708FB">
        <w:t>rojects won’t be useful in the futur</w:t>
      </w:r>
      <w:r w:rsidR="00CE0BCD">
        <w:t xml:space="preserve">e if </w:t>
      </w:r>
      <w:r w:rsidR="00B507B6">
        <w:t>the database is not</w:t>
      </w:r>
      <w:r w:rsidR="00CE0BCD">
        <w:t xml:space="preserve"> maintained</w:t>
      </w:r>
      <w:r w:rsidR="00F708FB">
        <w:t xml:space="preserve">. </w:t>
      </w:r>
    </w:p>
    <w:p w14:paraId="5C85370B" w14:textId="2E7BB935" w:rsidR="00FD6887" w:rsidRDefault="003C6DD2" w:rsidP="00F708FB">
      <w:pPr>
        <w:numPr>
          <w:ilvl w:val="1"/>
          <w:numId w:val="28"/>
        </w:numPr>
        <w:contextualSpacing/>
      </w:pPr>
      <w:r>
        <w:t>Otherwise t</w:t>
      </w:r>
      <w:r w:rsidR="00F708FB">
        <w:t>he committee generally supported the idea.</w:t>
      </w:r>
    </w:p>
    <w:p w14:paraId="320215F5" w14:textId="16854866" w:rsidR="00F708FB" w:rsidRDefault="00F708FB" w:rsidP="00F708FB">
      <w:pPr>
        <w:numPr>
          <w:ilvl w:val="0"/>
          <w:numId w:val="28"/>
        </w:numPr>
        <w:contextualSpacing/>
      </w:pPr>
      <w:r>
        <w:t>Proposal: Funding for Adaptive Management</w:t>
      </w:r>
    </w:p>
    <w:p w14:paraId="00A852C6" w14:textId="225F4F7F" w:rsidR="00F708FB" w:rsidRDefault="00F708FB" w:rsidP="00F708FB">
      <w:pPr>
        <w:numPr>
          <w:ilvl w:val="1"/>
          <w:numId w:val="28"/>
        </w:numPr>
        <w:contextualSpacing/>
      </w:pPr>
      <w:r>
        <w:t>Committee member stated that there needed to be more details provided for this</w:t>
      </w:r>
      <w:r w:rsidR="00B507B6">
        <w:t>.</w:t>
      </w:r>
    </w:p>
    <w:p w14:paraId="34124282" w14:textId="0C9D06EE" w:rsidR="00F708FB" w:rsidRDefault="00F708FB" w:rsidP="00F708FB">
      <w:pPr>
        <w:numPr>
          <w:ilvl w:val="0"/>
          <w:numId w:val="28"/>
        </w:numPr>
        <w:contextualSpacing/>
      </w:pPr>
      <w:r>
        <w:t>The committee is waiting to further discuss metering PE wells until the Muckleshoot Tribe is able to part</w:t>
      </w:r>
      <w:r w:rsidR="004D6A8A">
        <w:t>icipate.</w:t>
      </w:r>
    </w:p>
    <w:p w14:paraId="7F1F9C0B" w14:textId="61C06706" w:rsidR="004D6A8A" w:rsidRDefault="004D6A8A" w:rsidP="00F708FB">
      <w:pPr>
        <w:numPr>
          <w:ilvl w:val="0"/>
          <w:numId w:val="28"/>
        </w:numPr>
        <w:contextualSpacing/>
      </w:pPr>
      <w:r>
        <w:t>Other committees are not moving forward with changing withdrawal limits.</w:t>
      </w:r>
    </w:p>
    <w:p w14:paraId="1F7C6329" w14:textId="77777777" w:rsidR="00B507B6" w:rsidRDefault="00B507B6" w:rsidP="00B847A9">
      <w:pPr>
        <w:pStyle w:val="Heading2"/>
      </w:pPr>
    </w:p>
    <w:p w14:paraId="32E776A2" w14:textId="4E474705" w:rsidR="00B847A9" w:rsidRDefault="004D6A8A" w:rsidP="00B847A9">
      <w:pPr>
        <w:pStyle w:val="Heading2"/>
      </w:pPr>
      <w:r>
        <w:lastRenderedPageBreak/>
        <w:t>Plan Review</w:t>
      </w:r>
    </w:p>
    <w:p w14:paraId="4310AD60" w14:textId="279A1B86" w:rsidR="004D6A8A" w:rsidRDefault="004D6A8A" w:rsidP="004D6A8A">
      <w:pPr>
        <w:pStyle w:val="ListParagraph"/>
        <w:numPr>
          <w:ilvl w:val="0"/>
          <w:numId w:val="34"/>
        </w:numPr>
      </w:pPr>
      <w:r>
        <w:t>Input for chapters 1-3 was due Friday June 5</w:t>
      </w:r>
      <w:r w:rsidR="003C6DD2">
        <w:t>.</w:t>
      </w:r>
    </w:p>
    <w:p w14:paraId="6D3B4F7E" w14:textId="31B0EC75" w:rsidR="003C6DD2" w:rsidRPr="004D6A8A" w:rsidRDefault="003C6DD2" w:rsidP="003C6DD2">
      <w:pPr>
        <w:pStyle w:val="ListParagraph"/>
        <w:numPr>
          <w:ilvl w:val="0"/>
          <w:numId w:val="34"/>
        </w:numPr>
        <w:contextualSpacing w:val="0"/>
      </w:pPr>
      <w:r>
        <w:t>Committee members stated that the plan review process is going well and agreed that two weeks is enough review time.</w:t>
      </w:r>
    </w:p>
    <w:p w14:paraId="58243C6A" w14:textId="0A5F53E7" w:rsidR="004D6A8A" w:rsidRDefault="004D6A8A" w:rsidP="004D6A8A">
      <w:pPr>
        <w:pStyle w:val="ListParagraph"/>
        <w:numPr>
          <w:ilvl w:val="0"/>
          <w:numId w:val="34"/>
        </w:numPr>
      </w:pPr>
      <w:r>
        <w:t xml:space="preserve">Ecology is working on developing maps and making them consistent </w:t>
      </w:r>
      <w:r w:rsidR="000C356B">
        <w:t xml:space="preserve">across all watersheds. </w:t>
      </w:r>
    </w:p>
    <w:p w14:paraId="06228390" w14:textId="111FEAD3" w:rsidR="000C356B" w:rsidRDefault="000C356B" w:rsidP="004D6A8A">
      <w:pPr>
        <w:pStyle w:val="ListParagraph"/>
        <w:numPr>
          <w:ilvl w:val="0"/>
          <w:numId w:val="34"/>
        </w:numPr>
      </w:pPr>
      <w:r>
        <w:t>Sections that were not sent out in the first three chapters will included in the f</w:t>
      </w:r>
      <w:r w:rsidR="005068A8">
        <w:t>inal draft, available in August.</w:t>
      </w:r>
    </w:p>
    <w:p w14:paraId="44DD75C6" w14:textId="32922C93" w:rsidR="00825052" w:rsidRDefault="00E31247" w:rsidP="00B847A9">
      <w:pPr>
        <w:pStyle w:val="Heading2"/>
      </w:pPr>
      <w:r>
        <w:t>Projects</w:t>
      </w:r>
    </w:p>
    <w:p w14:paraId="4A56CE22" w14:textId="6C77A9F5" w:rsidR="000C356B" w:rsidRDefault="000C356B" w:rsidP="00E46D86">
      <w:r>
        <w:t xml:space="preserve">Rebecca </w:t>
      </w:r>
      <w:r w:rsidR="003312E6">
        <w:t xml:space="preserve">gave an overview of the </w:t>
      </w:r>
      <w:r w:rsidR="004133A8">
        <w:t xml:space="preserve">WDFW </w:t>
      </w:r>
      <w:r w:rsidR="003312E6">
        <w:t xml:space="preserve">letter (included in the meeting packet) </w:t>
      </w:r>
      <w:r w:rsidR="004133A8">
        <w:t>regarding the quantification of streamflow contributions from h</w:t>
      </w:r>
      <w:r w:rsidR="00B507B6">
        <w:t xml:space="preserve">abitat restoration projects and </w:t>
      </w:r>
      <w:r>
        <w:t>addressed questions regarding the WWT document</w:t>
      </w:r>
      <w:r w:rsidR="004133A8">
        <w:t xml:space="preserve">. </w:t>
      </w:r>
      <w:r w:rsidR="00FB08A5">
        <w:t>HDR gave a brief presentation on the development of project descriptions</w:t>
      </w:r>
      <w:r>
        <w:t>.</w:t>
      </w:r>
    </w:p>
    <w:p w14:paraId="538BFD9E" w14:textId="6C4310F9" w:rsidR="00555F5F" w:rsidRDefault="00E46D86" w:rsidP="00A62FB1">
      <w:pPr>
        <w:pStyle w:val="ListParagraph"/>
        <w:numPr>
          <w:ilvl w:val="0"/>
          <w:numId w:val="32"/>
        </w:numPr>
      </w:pPr>
      <w:r>
        <w:t>The committee discussed what was more important in a water right, a greater potential offset amount or if more stream miles are benefited from the offset.</w:t>
      </w:r>
      <w:r w:rsidR="00555F5F">
        <w:t xml:space="preserve"> Several committee members expressed that they believed a greater potential offset amount is more important.</w:t>
      </w:r>
    </w:p>
    <w:p w14:paraId="26864D8F" w14:textId="4ADEB463" w:rsidR="00AA323D" w:rsidRDefault="00E46D86" w:rsidP="00AA323D">
      <w:pPr>
        <w:pStyle w:val="ListParagraph"/>
        <w:numPr>
          <w:ilvl w:val="1"/>
          <w:numId w:val="32"/>
        </w:numPr>
      </w:pPr>
      <w:r>
        <w:t>A committee member expressed that both are important depending on the location of salmonids</w:t>
      </w:r>
      <w:r w:rsidR="00AA323D">
        <w:t>.</w:t>
      </w:r>
    </w:p>
    <w:p w14:paraId="5CBB1B25" w14:textId="53D52CFB" w:rsidR="004133A8" w:rsidRDefault="004133A8" w:rsidP="00AA323D">
      <w:pPr>
        <w:pStyle w:val="ListParagraph"/>
        <w:numPr>
          <w:ilvl w:val="1"/>
          <w:numId w:val="32"/>
        </w:numPr>
      </w:pPr>
      <w:r>
        <w:t>The committee discussed which project should remain a priority for WWT to pursue.</w:t>
      </w:r>
      <w:r w:rsidR="003312E6">
        <w:t xml:space="preserve"> </w:t>
      </w:r>
    </w:p>
    <w:p w14:paraId="24ED16C5" w14:textId="121F530A" w:rsidR="00555F5F" w:rsidRDefault="00555F5F" w:rsidP="00A62FB1">
      <w:pPr>
        <w:pStyle w:val="ListParagraph"/>
        <w:numPr>
          <w:ilvl w:val="0"/>
          <w:numId w:val="32"/>
        </w:numPr>
      </w:pPr>
      <w:r>
        <w:t>Rebecca will direct WWT to create a project profile for each water right acqu</w:t>
      </w:r>
      <w:r w:rsidR="00A62FB1">
        <w:t>isition that includes the likelihood of acquisition.</w:t>
      </w:r>
    </w:p>
    <w:p w14:paraId="3998E112" w14:textId="46B07397" w:rsidR="00A62FB1" w:rsidRDefault="00A62FB1" w:rsidP="003E5FCD">
      <w:pPr>
        <w:pStyle w:val="ListParagraph"/>
        <w:numPr>
          <w:ilvl w:val="0"/>
          <w:numId w:val="32"/>
        </w:numPr>
        <w:contextualSpacing w:val="0"/>
      </w:pPr>
      <w:r>
        <w:t>A</w:t>
      </w:r>
      <w:r w:rsidR="00FB08A5">
        <w:t xml:space="preserve"> committee member expressed</w:t>
      </w:r>
      <w:r>
        <w:t xml:space="preserve"> concerns about including water right acquisitions on properties that are zoned as long-te</w:t>
      </w:r>
      <w:r w:rsidR="003312E6">
        <w:t xml:space="preserve">rm agriculture and agricultural </w:t>
      </w:r>
      <w:r w:rsidR="00FB08A5">
        <w:t xml:space="preserve">resource lands. </w:t>
      </w:r>
    </w:p>
    <w:p w14:paraId="72C1DD7E" w14:textId="41ABAD2D" w:rsidR="00A62FB1" w:rsidRDefault="00AA323D" w:rsidP="00AA323D">
      <w:pPr>
        <w:pStyle w:val="ListParagraph"/>
        <w:numPr>
          <w:ilvl w:val="0"/>
          <w:numId w:val="32"/>
        </w:numPr>
      </w:pPr>
      <w:r>
        <w:t xml:space="preserve">Bob from HDR walked through the </w:t>
      </w:r>
      <w:hyperlink r:id="rId24" w:history="1">
        <w:r w:rsidRPr="00606AF4">
          <w:rPr>
            <w:rStyle w:val="Hyperlink"/>
          </w:rPr>
          <w:t>Alward Road project description</w:t>
        </w:r>
      </w:hyperlink>
      <w:r w:rsidR="003312E6">
        <w:t>.</w:t>
      </w:r>
    </w:p>
    <w:p w14:paraId="38BAB3E3" w14:textId="5CC2ADD3" w:rsidR="00AA323D" w:rsidRDefault="00AA323D" w:rsidP="00AA323D">
      <w:pPr>
        <w:pStyle w:val="ListParagraph"/>
        <w:numPr>
          <w:ilvl w:val="1"/>
          <w:numId w:val="32"/>
        </w:numPr>
      </w:pPr>
      <w:r>
        <w:t>The committee generally approved of the approach HDR has taken so far, a</w:t>
      </w:r>
      <w:r w:rsidR="00B507B6">
        <w:t xml:space="preserve"> few committee members stated</w:t>
      </w:r>
      <w:r>
        <w:t xml:space="preserve"> that a little bit more detail </w:t>
      </w:r>
      <w:r w:rsidR="00B507B6">
        <w:t>about project benefits and function would be good</w:t>
      </w:r>
      <w:r>
        <w:t>.</w:t>
      </w:r>
    </w:p>
    <w:p w14:paraId="6E3BAA16" w14:textId="001D6FEE" w:rsidR="00AA323D" w:rsidRDefault="00AA323D" w:rsidP="00AA323D">
      <w:pPr>
        <w:pStyle w:val="ListParagraph"/>
        <w:numPr>
          <w:ilvl w:val="0"/>
          <w:numId w:val="32"/>
        </w:numPr>
      </w:pPr>
      <w:r>
        <w:t>A committee member suggested that the technical consultant identify the number of wells that would be decommiss</w:t>
      </w:r>
      <w:r w:rsidR="003312E6">
        <w:t>ioned for NEB projects that</w:t>
      </w:r>
      <w:r>
        <w:t xml:space="preserve"> inclu</w:t>
      </w:r>
      <w:r w:rsidR="00B507B6">
        <w:t>de property acquisition,</w:t>
      </w:r>
      <w:r>
        <w:t xml:space="preserve"> the decommissioned wells can be counted toward the water offset.</w:t>
      </w:r>
    </w:p>
    <w:p w14:paraId="5CC462C6" w14:textId="761E0F72" w:rsidR="001562B8" w:rsidRPr="00CE42FD" w:rsidRDefault="00AA323D" w:rsidP="00DC191C">
      <w:pPr>
        <w:pStyle w:val="Heading2"/>
      </w:pPr>
      <w:r>
        <w:t>Next Steps</w:t>
      </w:r>
    </w:p>
    <w:p w14:paraId="750E29F5" w14:textId="059E7F9F" w:rsidR="004133A8" w:rsidRDefault="003312E6" w:rsidP="004133A8">
      <w:pPr>
        <w:pStyle w:val="ListParagraph"/>
        <w:numPr>
          <w:ilvl w:val="0"/>
          <w:numId w:val="24"/>
        </w:numPr>
      </w:pPr>
      <w:r>
        <w:t>The committee agreed to move the PE Well Tracking and Project Tracking proposals forward.</w:t>
      </w:r>
    </w:p>
    <w:p w14:paraId="7F767E87" w14:textId="2FC2474F" w:rsidR="0026457F" w:rsidRDefault="003312E6" w:rsidP="0026457F">
      <w:pPr>
        <w:pStyle w:val="ListParagraph"/>
        <w:numPr>
          <w:ilvl w:val="0"/>
          <w:numId w:val="24"/>
        </w:numPr>
      </w:pPr>
      <w:r>
        <w:t>Spencer and Rebecca will be reaching out to committee members to discuss the South Sound Water M</w:t>
      </w:r>
      <w:r w:rsidR="00B507B6">
        <w:t>aster proposal.</w:t>
      </w:r>
    </w:p>
    <w:p w14:paraId="64D5EFBC" w14:textId="7F5AFE24" w:rsidR="009C2DDE" w:rsidRDefault="009C2DDE" w:rsidP="009C2DDE">
      <w:pPr>
        <w:pStyle w:val="ListParagraph"/>
        <w:numPr>
          <w:ilvl w:val="0"/>
          <w:numId w:val="24"/>
        </w:numPr>
      </w:pPr>
      <w:r>
        <w:t>The zoning districts will be added to the water right acquisition table and maps.</w:t>
      </w:r>
    </w:p>
    <w:p w14:paraId="60D4B6F8" w14:textId="380DA6BD" w:rsidR="009C2DDE" w:rsidRDefault="009C2DDE" w:rsidP="009C2DDE">
      <w:pPr>
        <w:pStyle w:val="ListParagraph"/>
        <w:numPr>
          <w:ilvl w:val="0"/>
          <w:numId w:val="24"/>
        </w:numPr>
      </w:pPr>
      <w:r>
        <w:t xml:space="preserve">Project descriptions will include the </w:t>
      </w:r>
      <w:r w:rsidR="00332266">
        <w:t>number</w:t>
      </w:r>
      <w:r>
        <w:t xml:space="preserve"> of wells that would be decommissioned.</w:t>
      </w:r>
    </w:p>
    <w:p w14:paraId="222DD632" w14:textId="0A3E4103" w:rsidR="009C2DDE" w:rsidRDefault="009C2DDE" w:rsidP="009C2DDE">
      <w:pPr>
        <w:pStyle w:val="ListParagraph"/>
        <w:numPr>
          <w:ilvl w:val="0"/>
          <w:numId w:val="24"/>
        </w:numPr>
      </w:pPr>
      <w:r>
        <w:t>Comments on the first three chapters of the draft plan were due on F</w:t>
      </w:r>
      <w:r w:rsidR="00B507B6">
        <w:t xml:space="preserve">riday </w:t>
      </w:r>
      <w:r>
        <w:t>June 5.</w:t>
      </w:r>
    </w:p>
    <w:p w14:paraId="51B2737D" w14:textId="1CA86059" w:rsidR="009C2DDE" w:rsidRDefault="009C2DDE" w:rsidP="009C2DDE">
      <w:pPr>
        <w:pStyle w:val="ListParagraph"/>
        <w:numPr>
          <w:ilvl w:val="0"/>
          <w:numId w:val="24"/>
        </w:numPr>
      </w:pPr>
      <w:r>
        <w:t>Rebecca will get more information on why WRIA 1 went to rule making.</w:t>
      </w:r>
    </w:p>
    <w:p w14:paraId="02850AC8" w14:textId="4D4FC766" w:rsidR="00435A22" w:rsidRDefault="00435A22" w:rsidP="00435A22">
      <w:pPr>
        <w:pStyle w:val="ListParagraph"/>
        <w:numPr>
          <w:ilvl w:val="1"/>
          <w:numId w:val="24"/>
        </w:numPr>
      </w:pPr>
      <w:r>
        <w:t>Planning Unit was unable unanimously approve the final plan.</w:t>
      </w:r>
    </w:p>
    <w:p w14:paraId="62F9D905" w14:textId="55720F9F" w:rsidR="009C2DDE" w:rsidRDefault="009C2DDE" w:rsidP="009C2DDE">
      <w:pPr>
        <w:pStyle w:val="ListParagraph"/>
        <w:numPr>
          <w:ilvl w:val="0"/>
          <w:numId w:val="24"/>
        </w:numPr>
      </w:pPr>
      <w:r>
        <w:t>Rebecca will look into how ADUs fit into the</w:t>
      </w:r>
      <w:r w:rsidR="00B507B6">
        <w:t xml:space="preserve"> new WRIA 1 withdrawal</w:t>
      </w:r>
      <w:r>
        <w:t xml:space="preserve"> </w:t>
      </w:r>
      <w:r w:rsidR="00606AF4">
        <w:t>limits</w:t>
      </w:r>
      <w:r>
        <w:t>.</w:t>
      </w:r>
    </w:p>
    <w:p w14:paraId="01264A26" w14:textId="77777777" w:rsidR="00435A22" w:rsidRDefault="00606AF4" w:rsidP="00606AF4">
      <w:pPr>
        <w:pStyle w:val="ListParagraph"/>
        <w:numPr>
          <w:ilvl w:val="1"/>
          <w:numId w:val="24"/>
        </w:numPr>
      </w:pPr>
      <w:r>
        <w:t>The withdrawal limits are based on conne</w:t>
      </w:r>
      <w:r w:rsidR="00435A22">
        <w:t>ctions:</w:t>
      </w:r>
      <w:r>
        <w:t xml:space="preserve"> </w:t>
      </w:r>
    </w:p>
    <w:p w14:paraId="503D7C4D" w14:textId="7B1C4B57" w:rsidR="00606AF4" w:rsidRDefault="00435A22" w:rsidP="00435A22">
      <w:pPr>
        <w:pStyle w:val="ListParagraph"/>
        <w:numPr>
          <w:ilvl w:val="2"/>
          <w:numId w:val="24"/>
        </w:numPr>
      </w:pPr>
      <w:r>
        <w:t>An</w:t>
      </w:r>
      <w:r w:rsidR="00606AF4">
        <w:t xml:space="preserve"> ADU incorporated into the main residence (like a basement apartment) counts as part of the same connection</w:t>
      </w:r>
      <w:r>
        <w:t>.</w:t>
      </w:r>
    </w:p>
    <w:p w14:paraId="078337FD" w14:textId="7BAF81ED" w:rsidR="00435A22" w:rsidRDefault="00435A22" w:rsidP="00435A22">
      <w:pPr>
        <w:pStyle w:val="ListParagraph"/>
        <w:numPr>
          <w:ilvl w:val="2"/>
          <w:numId w:val="24"/>
        </w:numPr>
      </w:pPr>
      <w:r>
        <w:lastRenderedPageBreak/>
        <w:t xml:space="preserve">An ADU that is a structure separate from the main residence counts as a separate connection. </w:t>
      </w:r>
    </w:p>
    <w:p w14:paraId="0D0B7458" w14:textId="298DFF53" w:rsidR="009C2DDE" w:rsidRDefault="009C2DDE" w:rsidP="009C2DDE">
      <w:pPr>
        <w:pStyle w:val="ListParagraph"/>
        <w:numPr>
          <w:ilvl w:val="0"/>
          <w:numId w:val="24"/>
        </w:numPr>
      </w:pPr>
      <w:r>
        <w:t>Rebecca will make sure the comments regarding the maint</w:t>
      </w:r>
      <w:r w:rsidR="004969D4">
        <w:t>en</w:t>
      </w:r>
      <w:r>
        <w:t>ance of the project tracking tool are given to WDFW.</w:t>
      </w:r>
    </w:p>
    <w:p w14:paraId="1A5F744A" w14:textId="7A845263" w:rsidR="009C2DDE" w:rsidRPr="000A732B" w:rsidRDefault="009C2DDE" w:rsidP="009C2DDE">
      <w:pPr>
        <w:pStyle w:val="ListParagraph"/>
        <w:numPr>
          <w:ilvl w:val="0"/>
          <w:numId w:val="24"/>
        </w:numPr>
      </w:pPr>
      <w:r>
        <w:t xml:space="preserve">The next committee meeting will be held on </w:t>
      </w:r>
      <w:r w:rsidR="00B507B6">
        <w:t>July 1 from 9:30am-12:30pm via WebEx.</w:t>
      </w:r>
    </w:p>
    <w:sectPr w:rsidR="009C2DDE" w:rsidRPr="000A732B" w:rsidSect="0046322C">
      <w:head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17F7" w14:textId="77777777" w:rsidR="007C6776" w:rsidRDefault="007C6776" w:rsidP="00E34A0C">
      <w:r>
        <w:separator/>
      </w:r>
    </w:p>
  </w:endnote>
  <w:endnote w:type="continuationSeparator" w:id="0">
    <w:p w14:paraId="7DEBB190" w14:textId="77777777" w:rsidR="007C6776" w:rsidRDefault="007C6776" w:rsidP="00E34A0C">
      <w:r>
        <w:continuationSeparator/>
      </w:r>
    </w:p>
  </w:endnote>
  <w:endnote w:type="continuationNotice" w:id="1">
    <w:p w14:paraId="0591ABA8" w14:textId="77777777" w:rsidR="007C6776" w:rsidRDefault="007C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8BC3" w14:textId="77777777" w:rsidR="00B974C8" w:rsidRDefault="00B97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1F14C750" w:rsidR="002D70C9" w:rsidRDefault="002D70C9">
        <w:pPr>
          <w:pStyle w:val="Footer"/>
          <w:jc w:val="center"/>
        </w:pPr>
        <w:r>
          <w:fldChar w:fldCharType="begin"/>
        </w:r>
        <w:r>
          <w:instrText xml:space="preserve"> PAGE   \* MERGEFORMAT </w:instrText>
        </w:r>
        <w:r>
          <w:fldChar w:fldCharType="separate"/>
        </w:r>
        <w:r w:rsidR="00D13210">
          <w:rPr>
            <w:noProof/>
          </w:rPr>
          <w:t>4</w:t>
        </w:r>
        <w:r>
          <w:rPr>
            <w:noProof/>
          </w:rPr>
          <w:fldChar w:fldCharType="end"/>
        </w:r>
      </w:p>
    </w:sdtContent>
  </w:sdt>
  <w:p w14:paraId="70D1D850" w14:textId="5A6484D9" w:rsidR="00106848" w:rsidRDefault="0010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6D6" w14:textId="77777777" w:rsidR="00B974C8" w:rsidRDefault="00B9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CB87" w14:textId="77777777" w:rsidR="007C6776" w:rsidRDefault="007C6776" w:rsidP="00E34A0C">
      <w:r>
        <w:separator/>
      </w:r>
    </w:p>
  </w:footnote>
  <w:footnote w:type="continuationSeparator" w:id="0">
    <w:p w14:paraId="426FE4F2" w14:textId="77777777" w:rsidR="007C6776" w:rsidRDefault="007C6776" w:rsidP="00E34A0C">
      <w:r>
        <w:continuationSeparator/>
      </w:r>
    </w:p>
  </w:footnote>
  <w:footnote w:type="continuationNotice" w:id="1">
    <w:p w14:paraId="29E74EFB" w14:textId="77777777" w:rsidR="007C6776" w:rsidRDefault="007C67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181A" w14:textId="77777777" w:rsidR="00B974C8" w:rsidRDefault="00B9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9C3" w14:textId="0BD82851" w:rsidR="00B974C8" w:rsidRDefault="00B97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D013" w14:textId="77777777" w:rsidR="00B974C8" w:rsidRDefault="00B974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30061"/>
      <w:docPartObj>
        <w:docPartGallery w:val="Watermarks"/>
        <w:docPartUnique/>
      </w:docPartObj>
    </w:sdtPr>
    <w:sdtEndPr/>
    <w:sdtContent>
      <w:p w14:paraId="69FBD5DE" w14:textId="2C7AA97F" w:rsidR="00561255" w:rsidRDefault="00D13210">
        <w:pPr>
          <w:pStyle w:val="Header"/>
        </w:pPr>
        <w:r>
          <w:rPr>
            <w:noProof/>
          </w:rPr>
          <w:pict w14:anchorId="37A5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9F31956"/>
    <w:multiLevelType w:val="hybridMultilevel"/>
    <w:tmpl w:val="46B86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D5D8B"/>
    <w:multiLevelType w:val="hybridMultilevel"/>
    <w:tmpl w:val="EDEE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0E3F1C"/>
    <w:multiLevelType w:val="hybridMultilevel"/>
    <w:tmpl w:val="265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E1415"/>
    <w:multiLevelType w:val="hybridMultilevel"/>
    <w:tmpl w:val="3C58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B08D7"/>
    <w:multiLevelType w:val="hybridMultilevel"/>
    <w:tmpl w:val="AC6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8"/>
  </w:num>
  <w:num w:numId="3">
    <w:abstractNumId w:val="26"/>
  </w:num>
  <w:num w:numId="4">
    <w:abstractNumId w:val="24"/>
  </w:num>
  <w:num w:numId="5">
    <w:abstractNumId w:val="20"/>
  </w:num>
  <w:num w:numId="6">
    <w:abstractNumId w:val="8"/>
  </w:num>
  <w:num w:numId="7">
    <w:abstractNumId w:val="2"/>
  </w:num>
  <w:num w:numId="8">
    <w:abstractNumId w:val="19"/>
  </w:num>
  <w:num w:numId="9">
    <w:abstractNumId w:val="3"/>
  </w:num>
  <w:num w:numId="10">
    <w:abstractNumId w:val="22"/>
  </w:num>
  <w:num w:numId="11">
    <w:abstractNumId w:val="13"/>
  </w:num>
  <w:num w:numId="12">
    <w:abstractNumId w:val="21"/>
  </w:num>
  <w:num w:numId="13">
    <w:abstractNumId w:val="17"/>
  </w:num>
  <w:num w:numId="14">
    <w:abstractNumId w:val="25"/>
  </w:num>
  <w:num w:numId="15">
    <w:abstractNumId w:val="0"/>
  </w:num>
  <w:num w:numId="16">
    <w:abstractNumId w:val="13"/>
  </w:num>
  <w:num w:numId="17">
    <w:abstractNumId w:val="11"/>
  </w:num>
  <w:num w:numId="18">
    <w:abstractNumId w:val="15"/>
  </w:num>
  <w:num w:numId="19">
    <w:abstractNumId w:val="31"/>
  </w:num>
  <w:num w:numId="20">
    <w:abstractNumId w:val="4"/>
  </w:num>
  <w:num w:numId="21">
    <w:abstractNumId w:val="33"/>
  </w:num>
  <w:num w:numId="22">
    <w:abstractNumId w:val="30"/>
  </w:num>
  <w:num w:numId="23">
    <w:abstractNumId w:val="32"/>
  </w:num>
  <w:num w:numId="24">
    <w:abstractNumId w:val="27"/>
  </w:num>
  <w:num w:numId="25">
    <w:abstractNumId w:val="5"/>
  </w:num>
  <w:num w:numId="26">
    <w:abstractNumId w:val="1"/>
  </w:num>
  <w:num w:numId="27">
    <w:abstractNumId w:val="29"/>
  </w:num>
  <w:num w:numId="28">
    <w:abstractNumId w:val="12"/>
  </w:num>
  <w:num w:numId="29">
    <w:abstractNumId w:val="9"/>
  </w:num>
  <w:num w:numId="30">
    <w:abstractNumId w:val="28"/>
  </w:num>
  <w:num w:numId="31">
    <w:abstractNumId w:val="6"/>
  </w:num>
  <w:num w:numId="32">
    <w:abstractNumId w:val="16"/>
  </w:num>
  <w:num w:numId="33">
    <w:abstractNumId w:val="10"/>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00F2"/>
    <w:rsid w:val="00014BF9"/>
    <w:rsid w:val="00026512"/>
    <w:rsid w:val="00030C46"/>
    <w:rsid w:val="00033AB7"/>
    <w:rsid w:val="00042625"/>
    <w:rsid w:val="00043A59"/>
    <w:rsid w:val="00043D47"/>
    <w:rsid w:val="00054E81"/>
    <w:rsid w:val="000572F4"/>
    <w:rsid w:val="00057CBC"/>
    <w:rsid w:val="00060A54"/>
    <w:rsid w:val="000771D0"/>
    <w:rsid w:val="00082F8C"/>
    <w:rsid w:val="000868EF"/>
    <w:rsid w:val="0009311D"/>
    <w:rsid w:val="000952E5"/>
    <w:rsid w:val="000A0450"/>
    <w:rsid w:val="000A366D"/>
    <w:rsid w:val="000A39F4"/>
    <w:rsid w:val="000A732B"/>
    <w:rsid w:val="000B45E1"/>
    <w:rsid w:val="000B53FB"/>
    <w:rsid w:val="000B65AA"/>
    <w:rsid w:val="000C356B"/>
    <w:rsid w:val="000C3791"/>
    <w:rsid w:val="000C6F8D"/>
    <w:rsid w:val="000D674A"/>
    <w:rsid w:val="000E1DB9"/>
    <w:rsid w:val="000E6F73"/>
    <w:rsid w:val="000F260A"/>
    <w:rsid w:val="000F3546"/>
    <w:rsid w:val="000F6243"/>
    <w:rsid w:val="001010F9"/>
    <w:rsid w:val="00106848"/>
    <w:rsid w:val="00150AFC"/>
    <w:rsid w:val="00153087"/>
    <w:rsid w:val="001562B8"/>
    <w:rsid w:val="00166D0B"/>
    <w:rsid w:val="00172BC7"/>
    <w:rsid w:val="00180809"/>
    <w:rsid w:val="0018230B"/>
    <w:rsid w:val="0019587F"/>
    <w:rsid w:val="001A69BB"/>
    <w:rsid w:val="001B10D0"/>
    <w:rsid w:val="001C1B65"/>
    <w:rsid w:val="001D1493"/>
    <w:rsid w:val="001D2044"/>
    <w:rsid w:val="001D5499"/>
    <w:rsid w:val="001E5AE4"/>
    <w:rsid w:val="001E7D75"/>
    <w:rsid w:val="001F75F4"/>
    <w:rsid w:val="001F7A77"/>
    <w:rsid w:val="00203AA7"/>
    <w:rsid w:val="002042E4"/>
    <w:rsid w:val="0020598D"/>
    <w:rsid w:val="00246EA3"/>
    <w:rsid w:val="00256CC3"/>
    <w:rsid w:val="002640CD"/>
    <w:rsid w:val="0026457F"/>
    <w:rsid w:val="00280CB0"/>
    <w:rsid w:val="00282BCE"/>
    <w:rsid w:val="002944DD"/>
    <w:rsid w:val="002976C9"/>
    <w:rsid w:val="002A7A04"/>
    <w:rsid w:val="002B161B"/>
    <w:rsid w:val="002C4CA9"/>
    <w:rsid w:val="002C6AFE"/>
    <w:rsid w:val="002D0921"/>
    <w:rsid w:val="002D5210"/>
    <w:rsid w:val="002D70C9"/>
    <w:rsid w:val="002E1A38"/>
    <w:rsid w:val="002F55F7"/>
    <w:rsid w:val="00300A18"/>
    <w:rsid w:val="00300F7E"/>
    <w:rsid w:val="00305A68"/>
    <w:rsid w:val="00312A3A"/>
    <w:rsid w:val="003312E6"/>
    <w:rsid w:val="00332266"/>
    <w:rsid w:val="00337516"/>
    <w:rsid w:val="00340641"/>
    <w:rsid w:val="00341613"/>
    <w:rsid w:val="00343455"/>
    <w:rsid w:val="0035074C"/>
    <w:rsid w:val="0037551A"/>
    <w:rsid w:val="00375B5A"/>
    <w:rsid w:val="00375D59"/>
    <w:rsid w:val="0037784B"/>
    <w:rsid w:val="00381DA0"/>
    <w:rsid w:val="00383B1C"/>
    <w:rsid w:val="00387DA1"/>
    <w:rsid w:val="003C6DD2"/>
    <w:rsid w:val="003F397F"/>
    <w:rsid w:val="0040105C"/>
    <w:rsid w:val="00403836"/>
    <w:rsid w:val="0040451B"/>
    <w:rsid w:val="00411752"/>
    <w:rsid w:val="00412156"/>
    <w:rsid w:val="004133A8"/>
    <w:rsid w:val="00422575"/>
    <w:rsid w:val="004247D3"/>
    <w:rsid w:val="00424857"/>
    <w:rsid w:val="004315F6"/>
    <w:rsid w:val="00435A22"/>
    <w:rsid w:val="0044453B"/>
    <w:rsid w:val="0044555B"/>
    <w:rsid w:val="00455ECE"/>
    <w:rsid w:val="004566C7"/>
    <w:rsid w:val="0046467E"/>
    <w:rsid w:val="004666FD"/>
    <w:rsid w:val="0047328F"/>
    <w:rsid w:val="00475C04"/>
    <w:rsid w:val="00481508"/>
    <w:rsid w:val="00484EB7"/>
    <w:rsid w:val="004934DC"/>
    <w:rsid w:val="004969D4"/>
    <w:rsid w:val="004B5763"/>
    <w:rsid w:val="004B6E00"/>
    <w:rsid w:val="004C514A"/>
    <w:rsid w:val="004D0C95"/>
    <w:rsid w:val="004D6A8A"/>
    <w:rsid w:val="004E0684"/>
    <w:rsid w:val="004E330F"/>
    <w:rsid w:val="004F0620"/>
    <w:rsid w:val="004F3652"/>
    <w:rsid w:val="004F6FC6"/>
    <w:rsid w:val="00501ED0"/>
    <w:rsid w:val="005068A8"/>
    <w:rsid w:val="00513B7D"/>
    <w:rsid w:val="00516813"/>
    <w:rsid w:val="00526F3D"/>
    <w:rsid w:val="00550BBC"/>
    <w:rsid w:val="00555A4A"/>
    <w:rsid w:val="00555F5F"/>
    <w:rsid w:val="00562836"/>
    <w:rsid w:val="00570AE3"/>
    <w:rsid w:val="00570B92"/>
    <w:rsid w:val="00571892"/>
    <w:rsid w:val="00583B20"/>
    <w:rsid w:val="00583C4D"/>
    <w:rsid w:val="00593226"/>
    <w:rsid w:val="00595EE1"/>
    <w:rsid w:val="005A5F11"/>
    <w:rsid w:val="005A6B16"/>
    <w:rsid w:val="005A787D"/>
    <w:rsid w:val="005B1893"/>
    <w:rsid w:val="005C2461"/>
    <w:rsid w:val="005D081E"/>
    <w:rsid w:val="005D31CD"/>
    <w:rsid w:val="005E2D2C"/>
    <w:rsid w:val="00601C62"/>
    <w:rsid w:val="0060235B"/>
    <w:rsid w:val="00604A5D"/>
    <w:rsid w:val="00606A75"/>
    <w:rsid w:val="00606AF4"/>
    <w:rsid w:val="00610A24"/>
    <w:rsid w:val="00614913"/>
    <w:rsid w:val="00621047"/>
    <w:rsid w:val="00636EA7"/>
    <w:rsid w:val="00652801"/>
    <w:rsid w:val="0065722A"/>
    <w:rsid w:val="006628DD"/>
    <w:rsid w:val="00693725"/>
    <w:rsid w:val="00693E60"/>
    <w:rsid w:val="006A7F72"/>
    <w:rsid w:val="006B115C"/>
    <w:rsid w:val="006B180C"/>
    <w:rsid w:val="006B2C2C"/>
    <w:rsid w:val="006C1ABA"/>
    <w:rsid w:val="006C7C54"/>
    <w:rsid w:val="006D4BB0"/>
    <w:rsid w:val="006E43C3"/>
    <w:rsid w:val="006E5504"/>
    <w:rsid w:val="006F08A4"/>
    <w:rsid w:val="006F69A8"/>
    <w:rsid w:val="006F760C"/>
    <w:rsid w:val="00710D80"/>
    <w:rsid w:val="00710F56"/>
    <w:rsid w:val="00720918"/>
    <w:rsid w:val="00724DFD"/>
    <w:rsid w:val="007309E2"/>
    <w:rsid w:val="00742EC1"/>
    <w:rsid w:val="00750804"/>
    <w:rsid w:val="00764E63"/>
    <w:rsid w:val="007817D6"/>
    <w:rsid w:val="007826EE"/>
    <w:rsid w:val="0078541A"/>
    <w:rsid w:val="00790551"/>
    <w:rsid w:val="007A36EA"/>
    <w:rsid w:val="007A3C14"/>
    <w:rsid w:val="007B0BF6"/>
    <w:rsid w:val="007C6776"/>
    <w:rsid w:val="007D7A36"/>
    <w:rsid w:val="007F18B5"/>
    <w:rsid w:val="007F238E"/>
    <w:rsid w:val="007F6DB7"/>
    <w:rsid w:val="007F6F1B"/>
    <w:rsid w:val="00805AD4"/>
    <w:rsid w:val="00807515"/>
    <w:rsid w:val="00825052"/>
    <w:rsid w:val="00826C30"/>
    <w:rsid w:val="00832696"/>
    <w:rsid w:val="008340D8"/>
    <w:rsid w:val="00844D21"/>
    <w:rsid w:val="00852F8D"/>
    <w:rsid w:val="00865A37"/>
    <w:rsid w:val="00866F25"/>
    <w:rsid w:val="00871F5D"/>
    <w:rsid w:val="00873678"/>
    <w:rsid w:val="0087614C"/>
    <w:rsid w:val="0089148D"/>
    <w:rsid w:val="008A6CF1"/>
    <w:rsid w:val="008B37C3"/>
    <w:rsid w:val="008C199C"/>
    <w:rsid w:val="008C3102"/>
    <w:rsid w:val="008D4BA0"/>
    <w:rsid w:val="008E4582"/>
    <w:rsid w:val="008E4C1F"/>
    <w:rsid w:val="008F27D1"/>
    <w:rsid w:val="008F6C88"/>
    <w:rsid w:val="00906567"/>
    <w:rsid w:val="00906A8A"/>
    <w:rsid w:val="00906C7D"/>
    <w:rsid w:val="00912A9B"/>
    <w:rsid w:val="00917A64"/>
    <w:rsid w:val="00931D01"/>
    <w:rsid w:val="00940C95"/>
    <w:rsid w:val="00946622"/>
    <w:rsid w:val="00947AEE"/>
    <w:rsid w:val="00960F9A"/>
    <w:rsid w:val="00962250"/>
    <w:rsid w:val="009641A2"/>
    <w:rsid w:val="0097058B"/>
    <w:rsid w:val="009954D9"/>
    <w:rsid w:val="009A1706"/>
    <w:rsid w:val="009C2DDE"/>
    <w:rsid w:val="009C60D0"/>
    <w:rsid w:val="009D1FF3"/>
    <w:rsid w:val="009D26F5"/>
    <w:rsid w:val="009D4BCD"/>
    <w:rsid w:val="009E4424"/>
    <w:rsid w:val="009E6FC1"/>
    <w:rsid w:val="009F0C2A"/>
    <w:rsid w:val="009F2A73"/>
    <w:rsid w:val="009F6C65"/>
    <w:rsid w:val="00A12565"/>
    <w:rsid w:val="00A16E8E"/>
    <w:rsid w:val="00A31509"/>
    <w:rsid w:val="00A3568E"/>
    <w:rsid w:val="00A43493"/>
    <w:rsid w:val="00A4747D"/>
    <w:rsid w:val="00A52C89"/>
    <w:rsid w:val="00A62FB1"/>
    <w:rsid w:val="00A7205B"/>
    <w:rsid w:val="00A7484D"/>
    <w:rsid w:val="00A75866"/>
    <w:rsid w:val="00A76E4A"/>
    <w:rsid w:val="00A9653D"/>
    <w:rsid w:val="00AA188B"/>
    <w:rsid w:val="00AA323D"/>
    <w:rsid w:val="00AA432F"/>
    <w:rsid w:val="00AB449C"/>
    <w:rsid w:val="00AC2167"/>
    <w:rsid w:val="00AC732C"/>
    <w:rsid w:val="00AD1996"/>
    <w:rsid w:val="00AD28BC"/>
    <w:rsid w:val="00AD4D35"/>
    <w:rsid w:val="00AD657D"/>
    <w:rsid w:val="00AE0CF2"/>
    <w:rsid w:val="00AE4182"/>
    <w:rsid w:val="00AE73CC"/>
    <w:rsid w:val="00B15513"/>
    <w:rsid w:val="00B24C97"/>
    <w:rsid w:val="00B26C38"/>
    <w:rsid w:val="00B40ACF"/>
    <w:rsid w:val="00B431B8"/>
    <w:rsid w:val="00B47021"/>
    <w:rsid w:val="00B507B6"/>
    <w:rsid w:val="00B537F6"/>
    <w:rsid w:val="00B54407"/>
    <w:rsid w:val="00B57ACF"/>
    <w:rsid w:val="00B66EB6"/>
    <w:rsid w:val="00B74717"/>
    <w:rsid w:val="00B84049"/>
    <w:rsid w:val="00B847A9"/>
    <w:rsid w:val="00B931C4"/>
    <w:rsid w:val="00B974C8"/>
    <w:rsid w:val="00BA44B5"/>
    <w:rsid w:val="00BA4B4F"/>
    <w:rsid w:val="00BA7E30"/>
    <w:rsid w:val="00BB2DE1"/>
    <w:rsid w:val="00BC14FD"/>
    <w:rsid w:val="00BD565D"/>
    <w:rsid w:val="00BD631F"/>
    <w:rsid w:val="00BE2638"/>
    <w:rsid w:val="00BE537D"/>
    <w:rsid w:val="00C03660"/>
    <w:rsid w:val="00C116A5"/>
    <w:rsid w:val="00C327D3"/>
    <w:rsid w:val="00C344E7"/>
    <w:rsid w:val="00C45AB5"/>
    <w:rsid w:val="00C47DA9"/>
    <w:rsid w:val="00C513BF"/>
    <w:rsid w:val="00C515BE"/>
    <w:rsid w:val="00C556F9"/>
    <w:rsid w:val="00C64F23"/>
    <w:rsid w:val="00C6677E"/>
    <w:rsid w:val="00C87C17"/>
    <w:rsid w:val="00C934A2"/>
    <w:rsid w:val="00CA03E7"/>
    <w:rsid w:val="00CA48CF"/>
    <w:rsid w:val="00CB4D82"/>
    <w:rsid w:val="00CD0C94"/>
    <w:rsid w:val="00CD2E69"/>
    <w:rsid w:val="00CD4B50"/>
    <w:rsid w:val="00CE0BCD"/>
    <w:rsid w:val="00CF3536"/>
    <w:rsid w:val="00D03113"/>
    <w:rsid w:val="00D0681A"/>
    <w:rsid w:val="00D07BE0"/>
    <w:rsid w:val="00D118E8"/>
    <w:rsid w:val="00D11F0F"/>
    <w:rsid w:val="00D13210"/>
    <w:rsid w:val="00D1721E"/>
    <w:rsid w:val="00D23FFA"/>
    <w:rsid w:val="00D334F9"/>
    <w:rsid w:val="00D3640C"/>
    <w:rsid w:val="00D376B3"/>
    <w:rsid w:val="00D47C6B"/>
    <w:rsid w:val="00D56B93"/>
    <w:rsid w:val="00D71C3F"/>
    <w:rsid w:val="00D761B7"/>
    <w:rsid w:val="00D94234"/>
    <w:rsid w:val="00DA3788"/>
    <w:rsid w:val="00DC191C"/>
    <w:rsid w:val="00DC1F04"/>
    <w:rsid w:val="00DD2E69"/>
    <w:rsid w:val="00DE352A"/>
    <w:rsid w:val="00DF5EFF"/>
    <w:rsid w:val="00E03CD5"/>
    <w:rsid w:val="00E11CB6"/>
    <w:rsid w:val="00E235E2"/>
    <w:rsid w:val="00E31247"/>
    <w:rsid w:val="00E34A0C"/>
    <w:rsid w:val="00E46D86"/>
    <w:rsid w:val="00E5057A"/>
    <w:rsid w:val="00E72DD3"/>
    <w:rsid w:val="00E83D7B"/>
    <w:rsid w:val="00E93960"/>
    <w:rsid w:val="00E96743"/>
    <w:rsid w:val="00E97899"/>
    <w:rsid w:val="00EA70BA"/>
    <w:rsid w:val="00EB17FE"/>
    <w:rsid w:val="00EB1CF1"/>
    <w:rsid w:val="00EB75A3"/>
    <w:rsid w:val="00EC12ED"/>
    <w:rsid w:val="00ED5C2A"/>
    <w:rsid w:val="00EE72D9"/>
    <w:rsid w:val="00EF1BEB"/>
    <w:rsid w:val="00EF400A"/>
    <w:rsid w:val="00F05745"/>
    <w:rsid w:val="00F20333"/>
    <w:rsid w:val="00F2141E"/>
    <w:rsid w:val="00F3546E"/>
    <w:rsid w:val="00F52C59"/>
    <w:rsid w:val="00F61B38"/>
    <w:rsid w:val="00F6234F"/>
    <w:rsid w:val="00F708FB"/>
    <w:rsid w:val="00F74E2A"/>
    <w:rsid w:val="00F86C63"/>
    <w:rsid w:val="00F91E44"/>
    <w:rsid w:val="00F93DD6"/>
    <w:rsid w:val="00FA3390"/>
    <w:rsid w:val="00FB03D6"/>
    <w:rsid w:val="00FB08A5"/>
    <w:rsid w:val="00FC0E98"/>
    <w:rsid w:val="00FD3E05"/>
    <w:rsid w:val="00FD6887"/>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22427360">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63121680">
      <w:bodyDiv w:val="1"/>
      <w:marLeft w:val="0"/>
      <w:marRight w:val="0"/>
      <w:marTop w:val="0"/>
      <w:marBottom w:val="0"/>
      <w:divBdr>
        <w:top w:val="none" w:sz="0" w:space="0" w:color="auto"/>
        <w:left w:val="none" w:sz="0" w:space="0" w:color="auto"/>
        <w:bottom w:val="none" w:sz="0" w:space="0" w:color="auto"/>
        <w:right w:val="none" w:sz="0" w:space="0" w:color="auto"/>
      </w:divBdr>
    </w:div>
    <w:div w:id="201792086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box.com/s/aeiz2d4lf6x05mzi3ignp1cecwyn83h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box.com/s/dboics3qq9k2yul8tydc8l4vut1xozi9"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vn4ajpsqsmswn2yzd1hfdqqwv3men9xb" TargetMode="External"/><Relationship Id="rId10" Type="http://schemas.openxmlformats.org/officeDocument/2006/relationships/footnotes" Target="footnotes.xml"/><Relationship Id="rId19" Type="http://schemas.openxmlformats.org/officeDocument/2006/relationships/header" Target="header3.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 Id="rId22" Type="http://schemas.openxmlformats.org/officeDocument/2006/relationships/hyperlink" Target="https://app.box.com/s/sn608siynhtzidklltzi4f1ssrnskr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5185-4775-4544-8585-51EDD01AB160}"/>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76249e9b-b6b9-40a9-b72a-b7e9ea3ba785"/>
    <ds:schemaRef ds:uri="3b4dceba-683b-45c7-9b77-22ab90981aa0"/>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414cf220-fb19-40b1-aa7f-9d169f28feb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25BEFC-6A42-4AC8-AE42-67CFA979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A8FEC-35D4-40EB-85B4-2CC7D766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Committee meeting agenda</vt:lpstr>
    </vt:vector>
  </TitlesOfParts>
  <Company>WA Department of Ecology</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2</cp:revision>
  <cp:lastPrinted>2018-08-22T19:01:00Z</cp:lastPrinted>
  <dcterms:created xsi:type="dcterms:W3CDTF">2020-08-05T22:41:00Z</dcterms:created>
  <dcterms:modified xsi:type="dcterms:W3CDTF">2020-08-05T22:41:00Z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