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27E58DA1" w:rsidR="0044453B" w:rsidRPr="009E4424" w:rsidRDefault="005A1305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March 11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2" w:history="1">
        <w:r w:rsidR="008B7F72">
          <w:rPr>
            <w:rStyle w:val="Hyperlink"/>
          </w:rPr>
          <w:t>WRIA 12 Webpage</w:t>
        </w:r>
      </w:hyperlink>
    </w:p>
    <w:p w14:paraId="5ABD5DA1" w14:textId="3BDBF987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B71F8D">
                <wp:simplePos x="0" y="0"/>
                <wp:positionH relativeFrom="page">
                  <wp:posOffset>0</wp:posOffset>
                </wp:positionH>
                <wp:positionV relativeFrom="paragraph">
                  <wp:posOffset>140418</wp:posOffset>
                </wp:positionV>
                <wp:extent cx="7753350" cy="811033"/>
                <wp:effectExtent l="0" t="0" r="0" b="825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110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D391" id="Rectangle 2" o:spid="_x0000_s1026" alt="Title: Blue band - Description: decorative" style="position:absolute;margin-left:0;margin-top:11.05pt;width:610.5pt;height:6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WLrwIAAKoFAAAOAAAAZHJzL2Uyb0RvYy54bWysVE1v2zAMvQ/YfxB0X+18tVlQp8haZBhQ&#10;tEHboWdFlmMBsqhJSpzs14+SbLfrih2G5eCIIvlIPpG8vDo2ihyEdRJ0QUdnOSVCcyil3hX0+9P6&#10;05wS55kumQItCnoSjl4tP364bM1CjKEGVQpLEES7RWsKWntvFlnmeC0a5s7ACI3KCmzDPIp2l5WW&#10;tYjeqGyc5+dZC7Y0FrhwDm9vkpIuI35VCe7vq8oJT1RBMTcfvzZ+t+GbLS/ZYmeZqSXv0mD/kEXD&#10;pMagA9QN84zsrfwDqpHcgoPKn3FoMqgqyUWsAasZ5W+qeayZEbEWJMeZgSb3/2D53WFjiSwLOqZE&#10;swaf6AFJY3qnBMGrUjiOdJWCg2VeHgRyKL1Csy9qL8gWXzZw2Bq3QKhHs7Gd5PAYCDlWtgn/WCo5&#10;Rt5PA+/i6AnHy4uL2WQyw+fhqJuPRvlkEkCzF29jnf8qoCHhUFCLKUa62eHW+WTam4RgDpQs11Kp&#10;KNjd9lpZcmDYA9Pp+Xy+7tB/M1M6GGsIbgkx3GShslRLPPmTEsFO6QdRIW+Y/ThmEjtWDHEY50L7&#10;UVLVrBQp/CzHXx899HjwiJVGwIBcYfwBuwPoLRNIj52y7OyDq4gNPzjnf0ssOQ8eMTJoPzg3UoN9&#10;D0BhVV3kZN+TlKgJLG2hPGFXWUjj5gxfS3y3W+b8hlmcL3xq3Bn+Hj+Vgrag0J0oqcH+fO8+2GPb&#10;o5aSFue1oO7HnlnsR/VN40B8Hk2nYcCjMJ1djFGwrzXb1xq9b64B22GE28nweAz2XvXHykLzjKtl&#10;FaKiimmOsQvKve2Fa5/2CC4nLlaraIZDbZi/1Y+GB/DAaujLp+Mzs6ZrXo9tfwf9bLPFmx5OtsFT&#10;w2rvoZKxwV947fjGhRAbp1teYeO8lqPVy4pd/gIAAP//AwBQSwMEFAAGAAgAAAAhAN6b3XfaAAAA&#10;CAEAAA8AAABkcnMvZG93bnJldi54bWxMT01PwzAMvSPxHyIjcWPpCppG13RCoCIuY2Ns96zx2orG&#10;qZJsLf9+3gluz372+8iXo+3EGX1oHSmYThIQSJUzLdUKdt/lwxxEiJqM7hyhgl8MsCxub3KdGTfQ&#10;F563sRYsQiHTCpoY+0zKUDVodZi4Hom5o/NWRx59LY3XA4vbTqZJMpNWt8QOje7xtcHqZ3uyHCM8&#10;xjVtsJQfb++bwZv9bPVZKnV/N74sQEQc498xXOPzDxSc6eBOZILoFHCRqCBNpyCuLAPeHBg9Pc9B&#10;Frn8X6C4AAAA//8DAFBLAQItABQABgAIAAAAIQC2gziS/gAAAOEBAAATAAAAAAAAAAAAAAAAAAAA&#10;AABbQ29udGVudF9UeXBlc10ueG1sUEsBAi0AFAAGAAgAAAAhADj9If/WAAAAlAEAAAsAAAAAAAAA&#10;AAAAAAAALwEAAF9yZWxzLy5yZWxzUEsBAi0AFAAGAAgAAAAhAJvjVYuvAgAAqgUAAA4AAAAAAAAA&#10;AAAAAAAALgIAAGRycy9lMm9Eb2MueG1sUEsBAi0AFAAGAAgAAAAhAN6b3XfaAAAACAEAAA8AAAAA&#10;AAAAAAAAAAAACQUAAGRycy9kb3ducmV2LnhtbFBLBQYAAAAABAAEAPMAAAAQ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3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1C7757AC" w14:textId="77777777" w:rsidR="00190BA7" w:rsidRDefault="00190BA7" w:rsidP="00190BA7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96B1F60" w14:textId="21B71D5B" w:rsidR="00190BA7" w:rsidRDefault="006D4C0F" w:rsidP="00190BA7">
      <w:pPr>
        <w:rPr>
          <w:rStyle w:val="Hyperlink"/>
          <w:rFonts w:ascii="Franklin Gothic Book" w:hAnsi="Franklin Gothic Book"/>
        </w:rPr>
      </w:pPr>
      <w:hyperlink r:id="rId14" w:history="1">
        <w:r w:rsidR="00190BA7" w:rsidRPr="00B004FF">
          <w:rPr>
            <w:rStyle w:val="Hyperlink"/>
            <w:rFonts w:ascii="Franklin Gothic Book" w:hAnsi="Franklin Gothic Book"/>
            <w:highlight w:val="yellow"/>
          </w:rPr>
          <w:t xml:space="preserve">WebEx </w:t>
        </w:r>
        <w:bookmarkStart w:id="0" w:name="_GoBack"/>
        <w:bookmarkEnd w:id="0"/>
        <w:r w:rsidR="00190BA7" w:rsidRPr="00B004FF">
          <w:rPr>
            <w:rStyle w:val="Hyperlink"/>
            <w:rFonts w:ascii="Franklin Gothic Book" w:hAnsi="Franklin Gothic Book"/>
            <w:highlight w:val="yellow"/>
          </w:rPr>
          <w:t>Link</w:t>
        </w:r>
      </w:hyperlink>
    </w:p>
    <w:p w14:paraId="08EDE4B5" w14:textId="4A759FEE" w:rsidR="006D4C0F" w:rsidRPr="00AD4D35" w:rsidRDefault="006D4C0F" w:rsidP="00190BA7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Password: WRIA12Committee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5B9F380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9BF2622" w14:textId="23FE4814" w:rsidR="00AC29C7" w:rsidRDefault="00AC29C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6D1FF08B" w14:textId="7D7871AD" w:rsidR="00B376F5" w:rsidRDefault="00DD0046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Workgroup Recommendation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6D4C0F">
          <w:type w:val="continuous"/>
          <w:pgSz w:w="12240" w:h="15840"/>
          <w:pgMar w:top="1080" w:right="1170" w:bottom="720" w:left="1440" w:header="720" w:footer="720" w:gutter="0"/>
          <w:cols w:num="3" w:space="495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2D591A2E" w:rsidR="0008597E" w:rsidRDefault="003433B2" w:rsidP="0008597E">
      <w:pPr>
        <w:pStyle w:val="Bullets"/>
      </w:pPr>
      <w:r>
        <w:t>February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49580350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Consumptive Use Recommendation</w:t>
      </w:r>
    </w:p>
    <w:p w14:paraId="5083E1C3" w14:textId="4E2B3EDC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12:50 p</w:t>
      </w:r>
      <w:r w:rsidRPr="003433B2">
        <w:rPr>
          <w:rFonts w:cstheme="minorBidi"/>
          <w:bCs/>
          <w:color w:val="000000" w:themeColor="text1"/>
        </w:rPr>
        <w:t xml:space="preserve">.m. | 30 minutes | Chair | </w:t>
      </w:r>
    </w:p>
    <w:p w14:paraId="6E78DD8A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Projects</w:t>
      </w:r>
    </w:p>
    <w:p w14:paraId="2DD7DFF5" w14:textId="460D6DA4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Pr="003433B2">
        <w:rPr>
          <w:rFonts w:cstheme="minorBidi"/>
          <w:bCs/>
          <w:color w:val="000000" w:themeColor="text1"/>
        </w:rPr>
        <w:t>:20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30 minutes | Facilitator | </w:t>
      </w:r>
    </w:p>
    <w:p w14:paraId="3D1CC039" w14:textId="7C4B7D95" w:rsidR="00DD0046" w:rsidRPr="003433B2" w:rsidRDefault="003433B2" w:rsidP="00DD0046">
      <w:pPr>
        <w:numPr>
          <w:ilvl w:val="0"/>
          <w:numId w:val="19"/>
        </w:numPr>
        <w:spacing w:before="120"/>
        <w:ind w:left="360"/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>Objective: Review outcomes and next steps from workgroup meeting.</w:t>
      </w: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Policy and Regulatory Considerations</w:t>
      </w:r>
    </w:p>
    <w:p w14:paraId="712D9341" w14:textId="0A0717EB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Pr="003433B2">
        <w:rPr>
          <w:rFonts w:cstheme="minorBidi"/>
          <w:bCs/>
          <w:color w:val="000000" w:themeColor="text1"/>
        </w:rPr>
        <w:t>:00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50 minutes | </w:t>
      </w:r>
      <w:r>
        <w:rPr>
          <w:rFonts w:cstheme="minorBidi"/>
          <w:bCs/>
          <w:color w:val="000000" w:themeColor="text1"/>
        </w:rPr>
        <w:t>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7C771082" w14:textId="77777777" w:rsidR="003433B2" w:rsidRPr="003433B2" w:rsidRDefault="003433B2" w:rsidP="003433B2">
      <w:pPr>
        <w:numPr>
          <w:ilvl w:val="0"/>
          <w:numId w:val="19"/>
        </w:numPr>
        <w:spacing w:before="120" w:after="240"/>
        <w:ind w:left="360"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>Objective: Propose policy and regulatory considerations for the plan. Identify a path forward for proposals.</w:t>
      </w:r>
    </w:p>
    <w:p w14:paraId="7EC13AA4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Addressing Resiliency</w:t>
      </w:r>
    </w:p>
    <w:p w14:paraId="55F3A9AD" w14:textId="68098034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2:50 p</w:t>
      </w:r>
      <w:r w:rsidRPr="003433B2">
        <w:rPr>
          <w:rFonts w:cstheme="minorBidi"/>
          <w:bCs/>
          <w:color w:val="000000" w:themeColor="text1"/>
        </w:rPr>
        <w:t xml:space="preserve">.m. | 20 minutes | Chair | </w:t>
      </w:r>
    </w:p>
    <w:p w14:paraId="7FC134AD" w14:textId="77777777" w:rsidR="003433B2" w:rsidRPr="003433B2" w:rsidRDefault="003433B2" w:rsidP="003433B2">
      <w:pPr>
        <w:numPr>
          <w:ilvl w:val="0"/>
          <w:numId w:val="19"/>
        </w:numPr>
        <w:spacing w:before="120" w:after="240"/>
        <w:ind w:left="360"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>Objective: Assess interest and opportunities to address resiliency in the plan.</w:t>
      </w:r>
    </w:p>
    <w:p w14:paraId="383898F5" w14:textId="77777777" w:rsidR="003433B2" w:rsidRDefault="003433B2" w:rsidP="003433B2">
      <w:pPr>
        <w:pStyle w:val="Heading2"/>
        <w:spacing w:after="0"/>
      </w:pPr>
      <w:r>
        <w:t>Next Steps</w:t>
      </w:r>
    </w:p>
    <w:p w14:paraId="6E50B9EE" w14:textId="0BF1611E" w:rsidR="003433B2" w:rsidRDefault="003433B2" w:rsidP="003433B2">
      <w:r>
        <w:t>Next workgroup meeting: March 24, 2020, 10 am – 12 pm, WebEx.</w:t>
      </w:r>
    </w:p>
    <w:p w14:paraId="29F9D1E1" w14:textId="77777777" w:rsidR="003433B2" w:rsidRPr="000A732B" w:rsidRDefault="003433B2" w:rsidP="003433B2">
      <w:r>
        <w:t xml:space="preserve">Next full committee meeting: </w:t>
      </w:r>
      <w:r w:rsidRPr="00DD0AFE">
        <w:rPr>
          <w:b/>
          <w:u w:val="single"/>
        </w:rPr>
        <w:t>May 13, 2020</w:t>
      </w:r>
      <w:r>
        <w:t>, 12:30 pm – 3:30 pm Lakewood Community Center</w:t>
      </w:r>
    </w:p>
    <w:p w14:paraId="34626F57" w14:textId="77777777" w:rsidR="003433B2" w:rsidRDefault="003433B2" w:rsidP="003433B2">
      <w:pPr>
        <w:spacing w:before="120"/>
        <w:ind w:left="360" w:hanging="360"/>
        <w:contextualSpacing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</w:p>
    <w:p w14:paraId="320EC117" w14:textId="6FF5664C" w:rsidR="003433B2" w:rsidRPr="003433B2" w:rsidRDefault="003433B2" w:rsidP="003433B2">
      <w:pPr>
        <w:spacing w:before="120"/>
        <w:ind w:left="360" w:hanging="360"/>
        <w:contextualSpacing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Review Process</w:t>
      </w:r>
    </w:p>
    <w:p w14:paraId="4F882E9F" w14:textId="596F7065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3</w:t>
      </w:r>
      <w:r w:rsidRPr="003433B2">
        <w:rPr>
          <w:rFonts w:cstheme="minorBidi"/>
          <w:bCs/>
          <w:color w:val="000000" w:themeColor="text1"/>
        </w:rPr>
        <w:t>:1</w:t>
      </w:r>
      <w:r>
        <w:rPr>
          <w:rFonts w:cstheme="minorBidi"/>
          <w:bCs/>
          <w:color w:val="000000" w:themeColor="text1"/>
        </w:rPr>
        <w:t>5</w:t>
      </w:r>
      <w:r w:rsidRPr="003433B2">
        <w:rPr>
          <w:rFonts w:cstheme="minorBidi"/>
          <w:bCs/>
          <w:color w:val="000000" w:themeColor="text1"/>
        </w:rPr>
        <w:t xml:space="preserve"> p.m. | 15 minutes | Chair| </w:t>
      </w: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688F" w14:textId="77777777" w:rsidR="008F2579" w:rsidRDefault="008F2579" w:rsidP="00E34A0C">
      <w:r>
        <w:separator/>
      </w:r>
    </w:p>
  </w:endnote>
  <w:endnote w:type="continuationSeparator" w:id="0">
    <w:p w14:paraId="78ECE65C" w14:textId="77777777" w:rsidR="008F2579" w:rsidRDefault="008F2579" w:rsidP="00E34A0C">
      <w:r>
        <w:continuationSeparator/>
      </w:r>
    </w:p>
  </w:endnote>
  <w:endnote w:type="continuationNotice" w:id="1">
    <w:p w14:paraId="5BB8D295" w14:textId="77777777" w:rsidR="008F2579" w:rsidRDefault="008F2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DFCB" w14:textId="77777777" w:rsidR="008F2579" w:rsidRDefault="008F2579" w:rsidP="00E34A0C">
      <w:r>
        <w:separator/>
      </w:r>
    </w:p>
  </w:footnote>
  <w:footnote w:type="continuationSeparator" w:id="0">
    <w:p w14:paraId="56550865" w14:textId="77777777" w:rsidR="008F2579" w:rsidRDefault="008F2579" w:rsidP="00E34A0C">
      <w:r>
        <w:continuationSeparator/>
      </w:r>
    </w:p>
  </w:footnote>
  <w:footnote w:type="continuationNotice" w:id="1">
    <w:p w14:paraId="249B38DB" w14:textId="77777777" w:rsidR="008F2579" w:rsidRDefault="008F2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26EC8"/>
    <w:rsid w:val="00150AFC"/>
    <w:rsid w:val="00153087"/>
    <w:rsid w:val="00166D0B"/>
    <w:rsid w:val="00180809"/>
    <w:rsid w:val="0018230B"/>
    <w:rsid w:val="00190BA7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3B2"/>
    <w:rsid w:val="00343455"/>
    <w:rsid w:val="003747EB"/>
    <w:rsid w:val="0037551A"/>
    <w:rsid w:val="00375B5A"/>
    <w:rsid w:val="0037784B"/>
    <w:rsid w:val="00387DA1"/>
    <w:rsid w:val="003F397F"/>
    <w:rsid w:val="0040105C"/>
    <w:rsid w:val="00404E63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315CA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A1305"/>
    <w:rsid w:val="005A5F11"/>
    <w:rsid w:val="005A6B16"/>
    <w:rsid w:val="005B2518"/>
    <w:rsid w:val="005C1F80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7141F"/>
    <w:rsid w:val="00693725"/>
    <w:rsid w:val="00693E60"/>
    <w:rsid w:val="006A7F72"/>
    <w:rsid w:val="006B115C"/>
    <w:rsid w:val="006B180C"/>
    <w:rsid w:val="006B2C2C"/>
    <w:rsid w:val="006C1ABA"/>
    <w:rsid w:val="006C7C54"/>
    <w:rsid w:val="006D4C0F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B0357F"/>
    <w:rsid w:val="00B15513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4197C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E3E7D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352A"/>
    <w:rsid w:val="00DF5EFF"/>
    <w:rsid w:val="00E11CB6"/>
    <w:rsid w:val="00E34A0C"/>
    <w:rsid w:val="00E5057A"/>
    <w:rsid w:val="00E54484"/>
    <w:rsid w:val="00E615F8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f04f18379c16c54599ca03e58ae10e3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7B1CF-1868-477F-A920-9287BB12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1EDD6-0334-4564-97A4-21599279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Consumptive Use Recommendation</vt:lpstr>
      <vt:lpstr>    Projects</vt:lpstr>
      <vt:lpstr>    Policy and Regulatory Considerations</vt:lpstr>
      <vt:lpstr>    Addressing Resiliency</vt:lpstr>
      <vt:lpstr>    Next Steps</vt:lpstr>
    </vt:vector>
  </TitlesOfParts>
  <Company>WA Department of Ecology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7</cp:revision>
  <cp:lastPrinted>2018-08-22T19:01:00Z</cp:lastPrinted>
  <dcterms:created xsi:type="dcterms:W3CDTF">2020-02-11T22:57:00Z</dcterms:created>
  <dcterms:modified xsi:type="dcterms:W3CDTF">2020-03-10T15:36:00Z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