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46C" w:rsidRPr="00EF346C" w:rsidRDefault="00EF346C" w:rsidP="00EF346C">
      <w:pPr>
        <w:pStyle w:val="Heading1"/>
        <w:spacing w:after="240"/>
        <w:jc w:val="center"/>
        <w:rPr>
          <w:rFonts w:asciiTheme="minorHAnsi" w:hAnsiTheme="minorHAnsi" w:cstheme="minorHAnsi"/>
          <w:color w:val="auto"/>
          <w:sz w:val="22"/>
          <w:szCs w:val="22"/>
        </w:rPr>
      </w:pPr>
      <w:r w:rsidRPr="00EF346C">
        <w:rPr>
          <w:rFonts w:asciiTheme="minorHAnsi" w:hAnsiTheme="minorHAnsi" w:cstheme="minorHAnsi"/>
          <w:color w:val="auto"/>
          <w:sz w:val="22"/>
          <w:szCs w:val="22"/>
        </w:rPr>
        <w:t>Kennedy-Goldsborough (WRIA 14</w:t>
      </w:r>
      <w:proofErr w:type="gramStart"/>
      <w:r w:rsidRPr="00EF346C">
        <w:rPr>
          <w:rFonts w:asciiTheme="minorHAnsi" w:hAnsiTheme="minorHAnsi" w:cstheme="minorHAnsi"/>
          <w:color w:val="auto"/>
          <w:sz w:val="22"/>
          <w:szCs w:val="22"/>
        </w:rPr>
        <w:t>)</w:t>
      </w:r>
      <w:proofErr w:type="gramEnd"/>
      <w:r w:rsidRPr="00EF346C">
        <w:rPr>
          <w:rFonts w:asciiTheme="minorHAnsi" w:hAnsiTheme="minorHAnsi" w:cstheme="minorHAnsi"/>
          <w:color w:val="auto"/>
          <w:sz w:val="22"/>
          <w:szCs w:val="22"/>
        </w:rPr>
        <w:br/>
        <w:t>Watershed Restoration and Enhancement Committee</w:t>
      </w:r>
      <w:r w:rsidRPr="00EF346C">
        <w:rPr>
          <w:rFonts w:asciiTheme="minorHAnsi" w:hAnsiTheme="minorHAnsi" w:cstheme="minorHAnsi"/>
          <w:color w:val="auto"/>
          <w:sz w:val="22"/>
          <w:szCs w:val="22"/>
        </w:rPr>
        <w:br/>
      </w:r>
      <w:r>
        <w:rPr>
          <w:rFonts w:asciiTheme="minorHAnsi" w:hAnsiTheme="minorHAnsi" w:cstheme="minorHAnsi"/>
          <w:color w:val="auto"/>
          <w:sz w:val="22"/>
          <w:szCs w:val="22"/>
        </w:rPr>
        <w:t>April 11</w:t>
      </w:r>
      <w:r w:rsidRPr="00EF346C">
        <w:rPr>
          <w:rFonts w:asciiTheme="minorHAnsi" w:hAnsiTheme="minorHAnsi" w:cstheme="minorHAnsi"/>
          <w:color w:val="auto"/>
          <w:sz w:val="22"/>
          <w:szCs w:val="22"/>
        </w:rPr>
        <w:t>, 2019 Meeting Summary</w:t>
      </w:r>
      <w:r w:rsidR="00730D9B">
        <w:rPr>
          <w:rFonts w:asciiTheme="minorHAnsi" w:hAnsiTheme="minorHAnsi" w:cstheme="minorHAnsi"/>
          <w:color w:val="auto"/>
          <w:sz w:val="22"/>
          <w:szCs w:val="22"/>
        </w:rPr>
        <w:t xml:space="preserve"> - Approved</w:t>
      </w:r>
      <w:bookmarkStart w:id="0" w:name="_GoBack"/>
      <w:bookmarkEnd w:id="0"/>
    </w:p>
    <w:p w:rsidR="00EF346C" w:rsidRDefault="00EF346C" w:rsidP="00EF346C">
      <w:pPr>
        <w:pStyle w:val="NoSpacing"/>
        <w:spacing w:before="240"/>
        <w:rPr>
          <w:i/>
        </w:rPr>
      </w:pPr>
      <w:r w:rsidRPr="00B56D17">
        <w:rPr>
          <w:rStyle w:val="Heading1Char"/>
          <w:rFonts w:asciiTheme="minorHAnsi" w:hAnsiTheme="minorHAnsi" w:cstheme="minorHAnsi"/>
          <w:b/>
          <w:color w:val="auto"/>
          <w:sz w:val="22"/>
          <w:szCs w:val="22"/>
        </w:rPr>
        <w:t xml:space="preserve">Committee website: </w:t>
      </w:r>
      <w:hyperlink r:id="rId7" w:history="1">
        <w:r>
          <w:rPr>
            <w:rStyle w:val="Hyperlink"/>
            <w:rFonts w:ascii="Calibri" w:hAnsi="Calibri" w:cs="Calibri"/>
            <w:color w:val="0563C1"/>
          </w:rPr>
          <w:t>https://www.ezview.wa.gov/site/alias__1962/37326/watershed_restoration_and_enhancement_-_wria_14.aspx</w:t>
        </w:r>
      </w:hyperlink>
      <w:r>
        <w:rPr>
          <w:rStyle w:val="Hyperlink"/>
          <w:rFonts w:ascii="Calibri" w:hAnsi="Calibri" w:cs="Calibri"/>
          <w:color w:val="0563C1"/>
        </w:rPr>
        <w:br/>
      </w:r>
    </w:p>
    <w:p w:rsidR="00EF346C" w:rsidRDefault="00EF346C" w:rsidP="00EF346C">
      <w:pPr>
        <w:pStyle w:val="NoSpacing"/>
        <w:spacing w:before="120"/>
        <w:rPr>
          <w:b/>
        </w:rPr>
      </w:pPr>
      <w:r w:rsidRPr="00B56D17">
        <w:rPr>
          <w:rStyle w:val="Heading1Char"/>
          <w:rFonts w:asciiTheme="minorHAnsi" w:hAnsiTheme="minorHAnsi" w:cstheme="minorHAnsi"/>
          <w:b/>
          <w:color w:val="auto"/>
          <w:sz w:val="22"/>
          <w:szCs w:val="22"/>
        </w:rPr>
        <w:t>Next Meeting:</w:t>
      </w:r>
      <w:r w:rsidRPr="00B56D17">
        <w:rPr>
          <w:b/>
        </w:rPr>
        <w:t xml:space="preserve"> </w:t>
      </w:r>
      <w:r w:rsidR="00B56D17">
        <w:rPr>
          <w:b/>
        </w:rPr>
        <w:br/>
      </w:r>
      <w:r>
        <w:t>May 9, 2019</w:t>
      </w:r>
      <w:r w:rsidRPr="009C301D">
        <w:t xml:space="preserve">, </w:t>
      </w:r>
      <w:r>
        <w:t>9 am – 12:30 pm, Mason County Public Works, 100 W Public Works Drive, Shelton, WA 98584</w:t>
      </w:r>
    </w:p>
    <w:p w:rsidR="00675F1D" w:rsidRPr="00675F1D" w:rsidRDefault="00675F1D" w:rsidP="00675F1D">
      <w:pPr>
        <w:spacing w:after="0" w:line="240" w:lineRule="auto"/>
      </w:pPr>
    </w:p>
    <w:p w:rsidR="00675F1D" w:rsidRPr="00B56D17" w:rsidRDefault="00675F1D" w:rsidP="00B56D17">
      <w:pPr>
        <w:pStyle w:val="Heading1"/>
        <w:rPr>
          <w:rFonts w:asciiTheme="minorHAnsi" w:hAnsiTheme="minorHAnsi" w:cstheme="minorHAnsi"/>
          <w:b/>
          <w:color w:val="auto"/>
          <w:sz w:val="22"/>
          <w:szCs w:val="22"/>
        </w:rPr>
      </w:pPr>
      <w:r w:rsidRPr="00B56D17">
        <w:rPr>
          <w:rFonts w:asciiTheme="minorHAnsi" w:hAnsiTheme="minorHAnsi" w:cstheme="minorHAnsi"/>
          <w:b/>
          <w:color w:val="auto"/>
          <w:sz w:val="22"/>
          <w:szCs w:val="22"/>
        </w:rPr>
        <w:t xml:space="preserve">Committee Chair: </w:t>
      </w:r>
    </w:p>
    <w:p w:rsidR="00675F1D" w:rsidRPr="00675F1D" w:rsidRDefault="00091619" w:rsidP="00675F1D">
      <w:pPr>
        <w:spacing w:after="0" w:line="240" w:lineRule="auto"/>
      </w:pPr>
      <w:r>
        <w:t>Angela Johnson</w:t>
      </w:r>
      <w:r w:rsidR="00675F1D" w:rsidRPr="00675F1D">
        <w:t xml:space="preserve">, Washington State Department of Ecology </w:t>
      </w:r>
    </w:p>
    <w:p w:rsidR="00675F1D" w:rsidRDefault="00D10896" w:rsidP="00675F1D">
      <w:pPr>
        <w:spacing w:after="0" w:line="240" w:lineRule="auto"/>
      </w:pPr>
      <w:r>
        <w:t xml:space="preserve">360-407-6668, </w:t>
      </w:r>
      <w:hyperlink r:id="rId8" w:history="1">
        <w:r w:rsidR="00EF346C" w:rsidRPr="00FA7369">
          <w:rPr>
            <w:rStyle w:val="Hyperlink"/>
          </w:rPr>
          <w:t>angela.johnson@ecy.wa.gov</w:t>
        </w:r>
      </w:hyperlink>
    </w:p>
    <w:p w:rsidR="00EF346C" w:rsidRPr="00675F1D" w:rsidRDefault="00EF346C" w:rsidP="00675F1D">
      <w:pPr>
        <w:spacing w:after="0" w:line="240" w:lineRule="auto"/>
      </w:pPr>
    </w:p>
    <w:p w:rsidR="00EF346C" w:rsidRPr="00675F1D" w:rsidRDefault="00EF346C" w:rsidP="00B56D17">
      <w:pPr>
        <w:pStyle w:val="Heading1"/>
      </w:pPr>
      <w:r w:rsidRPr="00B56D17">
        <w:rPr>
          <w:rFonts w:asciiTheme="minorHAnsi" w:hAnsiTheme="minorHAnsi" w:cstheme="minorHAnsi"/>
          <w:sz w:val="26"/>
          <w:szCs w:val="26"/>
        </w:rPr>
        <w:t>Agenda</w:t>
      </w:r>
    </w:p>
    <w:tbl>
      <w:tblPr>
        <w:tblStyle w:val="TableGrid"/>
        <w:tblW w:w="9715" w:type="dxa"/>
        <w:jc w:val="center"/>
        <w:tblLayout w:type="fixed"/>
        <w:tblLook w:val="04A0" w:firstRow="1" w:lastRow="0" w:firstColumn="1" w:lastColumn="0" w:noHBand="0" w:noVBand="1"/>
      </w:tblPr>
      <w:tblGrid>
        <w:gridCol w:w="3685"/>
        <w:gridCol w:w="1080"/>
        <w:gridCol w:w="1530"/>
        <w:gridCol w:w="1710"/>
        <w:gridCol w:w="1710"/>
      </w:tblGrid>
      <w:tr w:rsidR="00EF346C" w:rsidRPr="00EF346C" w:rsidTr="00EF346C">
        <w:trPr>
          <w:trHeight w:val="288"/>
          <w:tblHeader/>
          <w:jc w:val="center"/>
        </w:trPr>
        <w:tc>
          <w:tcPr>
            <w:tcW w:w="3685" w:type="dxa"/>
            <w:shd w:val="clear" w:color="auto" w:fill="F2F2F2" w:themeFill="background1" w:themeFillShade="F2"/>
          </w:tcPr>
          <w:p w:rsidR="00675F1D" w:rsidRPr="00EF346C" w:rsidRDefault="00675F1D" w:rsidP="00EF346C">
            <w:pPr>
              <w:pStyle w:val="Heading1"/>
              <w:jc w:val="center"/>
              <w:outlineLvl w:val="0"/>
              <w:rPr>
                <w:rFonts w:asciiTheme="minorHAnsi" w:hAnsiTheme="minorHAnsi" w:cstheme="minorHAnsi"/>
                <w:color w:val="auto"/>
                <w:sz w:val="22"/>
                <w:szCs w:val="22"/>
              </w:rPr>
            </w:pPr>
            <w:r w:rsidRPr="00EF346C">
              <w:rPr>
                <w:rFonts w:asciiTheme="minorHAnsi" w:hAnsiTheme="minorHAnsi" w:cstheme="minorHAnsi"/>
                <w:color w:val="auto"/>
                <w:sz w:val="22"/>
                <w:szCs w:val="22"/>
              </w:rPr>
              <w:t>Topic</w:t>
            </w:r>
          </w:p>
        </w:tc>
        <w:tc>
          <w:tcPr>
            <w:tcW w:w="1080" w:type="dxa"/>
            <w:shd w:val="clear" w:color="auto" w:fill="F2F2F2" w:themeFill="background1" w:themeFillShade="F2"/>
          </w:tcPr>
          <w:p w:rsidR="00675F1D" w:rsidRPr="00EF346C" w:rsidRDefault="00675F1D" w:rsidP="00EF346C">
            <w:pPr>
              <w:pStyle w:val="Heading1"/>
              <w:jc w:val="center"/>
              <w:outlineLvl w:val="0"/>
              <w:rPr>
                <w:rFonts w:asciiTheme="minorHAnsi" w:hAnsiTheme="minorHAnsi" w:cstheme="minorHAnsi"/>
                <w:color w:val="auto"/>
                <w:sz w:val="22"/>
                <w:szCs w:val="22"/>
              </w:rPr>
            </w:pPr>
            <w:r w:rsidRPr="00EF346C">
              <w:rPr>
                <w:rFonts w:asciiTheme="minorHAnsi" w:hAnsiTheme="minorHAnsi" w:cstheme="minorHAnsi"/>
                <w:color w:val="auto"/>
                <w:sz w:val="22"/>
                <w:szCs w:val="22"/>
              </w:rPr>
              <w:t>Time</w:t>
            </w:r>
          </w:p>
        </w:tc>
        <w:tc>
          <w:tcPr>
            <w:tcW w:w="1530" w:type="dxa"/>
            <w:shd w:val="clear" w:color="auto" w:fill="F2F2F2" w:themeFill="background1" w:themeFillShade="F2"/>
          </w:tcPr>
          <w:p w:rsidR="00675F1D" w:rsidRPr="00EF346C" w:rsidRDefault="00675F1D" w:rsidP="00EF346C">
            <w:pPr>
              <w:pStyle w:val="Heading1"/>
              <w:jc w:val="center"/>
              <w:outlineLvl w:val="0"/>
              <w:rPr>
                <w:rFonts w:asciiTheme="minorHAnsi" w:hAnsiTheme="minorHAnsi" w:cstheme="minorHAnsi"/>
                <w:color w:val="auto"/>
                <w:sz w:val="22"/>
                <w:szCs w:val="22"/>
              </w:rPr>
            </w:pPr>
            <w:r w:rsidRPr="00EF346C">
              <w:rPr>
                <w:rFonts w:asciiTheme="minorHAnsi" w:hAnsiTheme="minorHAnsi" w:cstheme="minorHAnsi"/>
                <w:color w:val="auto"/>
                <w:sz w:val="22"/>
                <w:szCs w:val="22"/>
              </w:rPr>
              <w:t>Action</w:t>
            </w:r>
          </w:p>
        </w:tc>
        <w:tc>
          <w:tcPr>
            <w:tcW w:w="1710" w:type="dxa"/>
            <w:shd w:val="clear" w:color="auto" w:fill="F2F2F2" w:themeFill="background1" w:themeFillShade="F2"/>
          </w:tcPr>
          <w:p w:rsidR="00675F1D" w:rsidRPr="00EF346C" w:rsidRDefault="00675F1D" w:rsidP="00EF346C">
            <w:pPr>
              <w:pStyle w:val="Heading1"/>
              <w:jc w:val="center"/>
              <w:outlineLvl w:val="0"/>
              <w:rPr>
                <w:rFonts w:asciiTheme="minorHAnsi" w:hAnsiTheme="minorHAnsi" w:cstheme="minorHAnsi"/>
                <w:color w:val="auto"/>
                <w:sz w:val="22"/>
                <w:szCs w:val="22"/>
              </w:rPr>
            </w:pPr>
            <w:r w:rsidRPr="00EF346C">
              <w:rPr>
                <w:rFonts w:asciiTheme="minorHAnsi" w:hAnsiTheme="minorHAnsi" w:cstheme="minorHAnsi"/>
                <w:color w:val="auto"/>
                <w:sz w:val="22"/>
                <w:szCs w:val="22"/>
              </w:rPr>
              <w:t>Handouts</w:t>
            </w:r>
          </w:p>
        </w:tc>
        <w:tc>
          <w:tcPr>
            <w:tcW w:w="1710" w:type="dxa"/>
            <w:shd w:val="clear" w:color="auto" w:fill="F2F2F2" w:themeFill="background1" w:themeFillShade="F2"/>
          </w:tcPr>
          <w:p w:rsidR="00675F1D" w:rsidRPr="00EF346C" w:rsidRDefault="00675F1D" w:rsidP="00EF346C">
            <w:pPr>
              <w:pStyle w:val="Heading1"/>
              <w:jc w:val="center"/>
              <w:outlineLvl w:val="0"/>
              <w:rPr>
                <w:rFonts w:asciiTheme="minorHAnsi" w:hAnsiTheme="minorHAnsi" w:cstheme="minorHAnsi"/>
                <w:color w:val="auto"/>
                <w:sz w:val="22"/>
                <w:szCs w:val="22"/>
              </w:rPr>
            </w:pPr>
            <w:r w:rsidRPr="00EF346C">
              <w:rPr>
                <w:rFonts w:asciiTheme="minorHAnsi" w:hAnsiTheme="minorHAnsi" w:cstheme="minorHAnsi"/>
                <w:color w:val="auto"/>
                <w:sz w:val="22"/>
                <w:szCs w:val="22"/>
              </w:rPr>
              <w:t>Lead</w:t>
            </w:r>
          </w:p>
        </w:tc>
      </w:tr>
      <w:tr w:rsidR="00675F1D" w:rsidRPr="00675F1D" w:rsidTr="00EF346C">
        <w:trPr>
          <w:jc w:val="center"/>
        </w:trPr>
        <w:tc>
          <w:tcPr>
            <w:tcW w:w="3685" w:type="dxa"/>
          </w:tcPr>
          <w:p w:rsidR="00675F1D" w:rsidRPr="00675F1D" w:rsidRDefault="00675F1D" w:rsidP="00675F1D">
            <w:pPr>
              <w:tabs>
                <w:tab w:val="left" w:pos="3328"/>
              </w:tabs>
              <w:rPr>
                <w:b/>
              </w:rPr>
            </w:pPr>
            <w:r>
              <w:rPr>
                <w:b/>
              </w:rPr>
              <w:t>Welcome and Introduction</w:t>
            </w:r>
          </w:p>
        </w:tc>
        <w:tc>
          <w:tcPr>
            <w:tcW w:w="1080" w:type="dxa"/>
          </w:tcPr>
          <w:p w:rsidR="00675F1D" w:rsidRPr="00675F1D" w:rsidRDefault="00D10896" w:rsidP="00675F1D">
            <w:pPr>
              <w:rPr>
                <w:highlight w:val="yellow"/>
              </w:rPr>
            </w:pPr>
            <w:r>
              <w:t>9:00</w:t>
            </w:r>
            <w:r w:rsidR="00EF346C">
              <w:t xml:space="preserve"> </w:t>
            </w:r>
            <w:r>
              <w:t>am</w:t>
            </w:r>
            <w:r w:rsidR="00675F1D" w:rsidRPr="00675F1D">
              <w:t xml:space="preserve"> </w:t>
            </w:r>
          </w:p>
        </w:tc>
        <w:tc>
          <w:tcPr>
            <w:tcW w:w="1530" w:type="dxa"/>
          </w:tcPr>
          <w:p w:rsidR="00675F1D" w:rsidRPr="00675F1D" w:rsidRDefault="00675F1D" w:rsidP="00675F1D"/>
        </w:tc>
        <w:tc>
          <w:tcPr>
            <w:tcW w:w="1710" w:type="dxa"/>
          </w:tcPr>
          <w:p w:rsidR="00675F1D" w:rsidRPr="00675F1D" w:rsidRDefault="00675F1D" w:rsidP="00675F1D">
            <w:pPr>
              <w:ind w:left="144"/>
              <w:contextualSpacing/>
            </w:pPr>
          </w:p>
        </w:tc>
        <w:tc>
          <w:tcPr>
            <w:tcW w:w="1710" w:type="dxa"/>
          </w:tcPr>
          <w:p w:rsidR="00675F1D" w:rsidRPr="00675F1D" w:rsidRDefault="00675F1D" w:rsidP="00675F1D">
            <w:r w:rsidRPr="00675F1D">
              <w:t>Facilitator</w:t>
            </w:r>
          </w:p>
        </w:tc>
      </w:tr>
      <w:tr w:rsidR="00675F1D" w:rsidRPr="00675F1D" w:rsidTr="00EF346C">
        <w:trPr>
          <w:jc w:val="center"/>
        </w:trPr>
        <w:tc>
          <w:tcPr>
            <w:tcW w:w="3685" w:type="dxa"/>
          </w:tcPr>
          <w:p w:rsidR="00675F1D" w:rsidRPr="00675F1D" w:rsidRDefault="00D10896" w:rsidP="00675F1D">
            <w:pPr>
              <w:rPr>
                <w:b/>
              </w:rPr>
            </w:pPr>
            <w:r>
              <w:rPr>
                <w:b/>
              </w:rPr>
              <w:t>Approval of March Meeting Summary and Review of April Agenda</w:t>
            </w:r>
          </w:p>
        </w:tc>
        <w:tc>
          <w:tcPr>
            <w:tcW w:w="1080" w:type="dxa"/>
          </w:tcPr>
          <w:p w:rsidR="00675F1D" w:rsidRPr="00675F1D" w:rsidRDefault="00D10896" w:rsidP="00675F1D">
            <w:pPr>
              <w:rPr>
                <w:highlight w:val="yellow"/>
              </w:rPr>
            </w:pPr>
            <w:r>
              <w:t>9:10</w:t>
            </w:r>
            <w:r w:rsidR="00EF346C">
              <w:t xml:space="preserve"> am</w:t>
            </w:r>
          </w:p>
        </w:tc>
        <w:tc>
          <w:tcPr>
            <w:tcW w:w="1530" w:type="dxa"/>
          </w:tcPr>
          <w:p w:rsidR="00675F1D" w:rsidRPr="00D10896" w:rsidRDefault="00D10896" w:rsidP="00675F1D">
            <w:r>
              <w:t>Decision</w:t>
            </w:r>
          </w:p>
        </w:tc>
        <w:tc>
          <w:tcPr>
            <w:tcW w:w="1710" w:type="dxa"/>
          </w:tcPr>
          <w:p w:rsidR="00675F1D" w:rsidRDefault="00D10896" w:rsidP="00D10896">
            <w:r>
              <w:t>-March meeting summary</w:t>
            </w:r>
          </w:p>
          <w:p w:rsidR="00D10896" w:rsidRPr="00675F1D" w:rsidRDefault="00D10896" w:rsidP="00D10896">
            <w:r>
              <w:t>-Agenda</w:t>
            </w:r>
          </w:p>
        </w:tc>
        <w:tc>
          <w:tcPr>
            <w:tcW w:w="1710" w:type="dxa"/>
          </w:tcPr>
          <w:p w:rsidR="00675F1D" w:rsidRPr="00675F1D" w:rsidRDefault="00675F1D" w:rsidP="00675F1D">
            <w:r w:rsidRPr="00675F1D">
              <w:t>Facilitator</w:t>
            </w:r>
          </w:p>
        </w:tc>
      </w:tr>
      <w:tr w:rsidR="00675F1D" w:rsidRPr="00675F1D" w:rsidTr="00EF346C">
        <w:trPr>
          <w:jc w:val="center"/>
        </w:trPr>
        <w:tc>
          <w:tcPr>
            <w:tcW w:w="3685" w:type="dxa"/>
          </w:tcPr>
          <w:p w:rsidR="00675F1D" w:rsidRDefault="00D10896" w:rsidP="00675F1D">
            <w:pPr>
              <w:rPr>
                <w:b/>
              </w:rPr>
            </w:pPr>
            <w:r>
              <w:rPr>
                <w:b/>
              </w:rPr>
              <w:t>Committee Updates and Announcements</w:t>
            </w:r>
          </w:p>
        </w:tc>
        <w:tc>
          <w:tcPr>
            <w:tcW w:w="1080" w:type="dxa"/>
          </w:tcPr>
          <w:p w:rsidR="00675F1D" w:rsidRDefault="00D10896" w:rsidP="00675F1D">
            <w:r>
              <w:t>9:15</w:t>
            </w:r>
            <w:r w:rsidR="00EF346C">
              <w:t xml:space="preserve"> am</w:t>
            </w:r>
          </w:p>
        </w:tc>
        <w:tc>
          <w:tcPr>
            <w:tcW w:w="1530" w:type="dxa"/>
          </w:tcPr>
          <w:p w:rsidR="00675F1D" w:rsidRPr="00D10896" w:rsidRDefault="00D10896" w:rsidP="00675F1D">
            <w:r>
              <w:t>Discussion</w:t>
            </w:r>
          </w:p>
        </w:tc>
        <w:tc>
          <w:tcPr>
            <w:tcW w:w="1710" w:type="dxa"/>
          </w:tcPr>
          <w:p w:rsidR="00675F1D" w:rsidRPr="00675F1D" w:rsidRDefault="00675F1D" w:rsidP="00675F1D"/>
        </w:tc>
        <w:tc>
          <w:tcPr>
            <w:tcW w:w="1710" w:type="dxa"/>
          </w:tcPr>
          <w:p w:rsidR="00675F1D" w:rsidRPr="00675F1D" w:rsidRDefault="00675F1D" w:rsidP="00675F1D">
            <w:r>
              <w:t>Chair and Committee</w:t>
            </w:r>
          </w:p>
        </w:tc>
      </w:tr>
      <w:tr w:rsidR="00675F1D" w:rsidRPr="00675F1D" w:rsidTr="00EF346C">
        <w:trPr>
          <w:jc w:val="center"/>
        </w:trPr>
        <w:tc>
          <w:tcPr>
            <w:tcW w:w="3685" w:type="dxa"/>
          </w:tcPr>
          <w:p w:rsidR="00675F1D" w:rsidRDefault="00147CD7" w:rsidP="00675F1D">
            <w:pPr>
              <w:rPr>
                <w:b/>
              </w:rPr>
            </w:pPr>
            <w:r>
              <w:rPr>
                <w:b/>
              </w:rPr>
              <w:t>Local Planning</w:t>
            </w:r>
          </w:p>
        </w:tc>
        <w:tc>
          <w:tcPr>
            <w:tcW w:w="1080" w:type="dxa"/>
          </w:tcPr>
          <w:p w:rsidR="00675F1D" w:rsidRPr="00675F1D" w:rsidRDefault="00D10896" w:rsidP="00675F1D">
            <w:r>
              <w:t>9:25</w:t>
            </w:r>
            <w:r w:rsidR="00EF346C">
              <w:t xml:space="preserve"> am</w:t>
            </w:r>
          </w:p>
        </w:tc>
        <w:tc>
          <w:tcPr>
            <w:tcW w:w="1530" w:type="dxa"/>
          </w:tcPr>
          <w:p w:rsidR="00675F1D" w:rsidRPr="00D10896" w:rsidRDefault="00D10896" w:rsidP="00675F1D">
            <w:r>
              <w:t>Presentations</w:t>
            </w:r>
          </w:p>
        </w:tc>
        <w:tc>
          <w:tcPr>
            <w:tcW w:w="1710" w:type="dxa"/>
          </w:tcPr>
          <w:p w:rsidR="00675F1D" w:rsidRPr="00675F1D" w:rsidRDefault="00675F1D" w:rsidP="00675F1D"/>
        </w:tc>
        <w:tc>
          <w:tcPr>
            <w:tcW w:w="1710" w:type="dxa"/>
          </w:tcPr>
          <w:p w:rsidR="00675F1D" w:rsidRPr="00675F1D" w:rsidRDefault="00D10896" w:rsidP="00675F1D">
            <w:r>
              <w:t>Mason County, Thurston County, City of Shelton</w:t>
            </w:r>
          </w:p>
        </w:tc>
      </w:tr>
      <w:tr w:rsidR="00675F1D" w:rsidRPr="00675F1D" w:rsidTr="00EF346C">
        <w:trPr>
          <w:jc w:val="center"/>
        </w:trPr>
        <w:tc>
          <w:tcPr>
            <w:tcW w:w="3685" w:type="dxa"/>
          </w:tcPr>
          <w:p w:rsidR="00675F1D" w:rsidRDefault="00D10896" w:rsidP="00675F1D">
            <w:pPr>
              <w:rPr>
                <w:b/>
              </w:rPr>
            </w:pPr>
            <w:r>
              <w:rPr>
                <w:b/>
              </w:rPr>
              <w:t>Break</w:t>
            </w:r>
          </w:p>
        </w:tc>
        <w:tc>
          <w:tcPr>
            <w:tcW w:w="1080" w:type="dxa"/>
          </w:tcPr>
          <w:p w:rsidR="00675F1D" w:rsidRDefault="00D10896" w:rsidP="00675F1D">
            <w:r>
              <w:t>11:00</w:t>
            </w:r>
            <w:r w:rsidR="00EF346C">
              <w:t xml:space="preserve"> am</w:t>
            </w:r>
          </w:p>
        </w:tc>
        <w:tc>
          <w:tcPr>
            <w:tcW w:w="1530" w:type="dxa"/>
          </w:tcPr>
          <w:p w:rsidR="00675F1D" w:rsidRPr="00675F1D" w:rsidRDefault="00675F1D" w:rsidP="00675F1D">
            <w:pPr>
              <w:rPr>
                <w:b/>
              </w:rPr>
            </w:pPr>
          </w:p>
        </w:tc>
        <w:tc>
          <w:tcPr>
            <w:tcW w:w="1710" w:type="dxa"/>
          </w:tcPr>
          <w:p w:rsidR="00675F1D" w:rsidRPr="00675F1D" w:rsidRDefault="00675F1D" w:rsidP="00675F1D"/>
        </w:tc>
        <w:tc>
          <w:tcPr>
            <w:tcW w:w="1710" w:type="dxa"/>
          </w:tcPr>
          <w:p w:rsidR="00675F1D" w:rsidRPr="00675F1D" w:rsidRDefault="00675F1D" w:rsidP="00675F1D"/>
        </w:tc>
      </w:tr>
      <w:tr w:rsidR="00675F1D" w:rsidRPr="00675F1D" w:rsidTr="00EF346C">
        <w:trPr>
          <w:jc w:val="center"/>
        </w:trPr>
        <w:tc>
          <w:tcPr>
            <w:tcW w:w="3685" w:type="dxa"/>
          </w:tcPr>
          <w:p w:rsidR="00675F1D" w:rsidRPr="00675F1D" w:rsidRDefault="00D10896" w:rsidP="00675F1D">
            <w:pPr>
              <w:rPr>
                <w:b/>
              </w:rPr>
            </w:pPr>
            <w:r>
              <w:rPr>
                <w:b/>
              </w:rPr>
              <w:t>Technical Workgroup Report</w:t>
            </w:r>
          </w:p>
        </w:tc>
        <w:tc>
          <w:tcPr>
            <w:tcW w:w="1080" w:type="dxa"/>
          </w:tcPr>
          <w:p w:rsidR="00675F1D" w:rsidRPr="00675F1D" w:rsidRDefault="00D10896" w:rsidP="00675F1D">
            <w:pPr>
              <w:rPr>
                <w:highlight w:val="yellow"/>
              </w:rPr>
            </w:pPr>
            <w:r>
              <w:t>11:10</w:t>
            </w:r>
            <w:r w:rsidR="00EF346C">
              <w:t xml:space="preserve"> am</w:t>
            </w:r>
          </w:p>
        </w:tc>
        <w:tc>
          <w:tcPr>
            <w:tcW w:w="1530" w:type="dxa"/>
          </w:tcPr>
          <w:p w:rsidR="00675F1D" w:rsidRPr="00D10896" w:rsidRDefault="00D10896" w:rsidP="00675F1D">
            <w:r>
              <w:t>Discussion</w:t>
            </w:r>
          </w:p>
        </w:tc>
        <w:tc>
          <w:tcPr>
            <w:tcW w:w="1710" w:type="dxa"/>
          </w:tcPr>
          <w:p w:rsidR="00675F1D" w:rsidRPr="00675F1D" w:rsidRDefault="00675F1D" w:rsidP="00675F1D"/>
        </w:tc>
        <w:tc>
          <w:tcPr>
            <w:tcW w:w="1710" w:type="dxa"/>
          </w:tcPr>
          <w:p w:rsidR="00675F1D" w:rsidRPr="00675F1D" w:rsidRDefault="00D10896" w:rsidP="00675F1D">
            <w:r>
              <w:t>Chair and Workgroup Representatives</w:t>
            </w:r>
          </w:p>
        </w:tc>
      </w:tr>
      <w:tr w:rsidR="00675F1D" w:rsidRPr="00675F1D" w:rsidTr="00EF346C">
        <w:trPr>
          <w:jc w:val="center"/>
        </w:trPr>
        <w:tc>
          <w:tcPr>
            <w:tcW w:w="3685" w:type="dxa"/>
          </w:tcPr>
          <w:p w:rsidR="00675F1D" w:rsidRPr="00675F1D" w:rsidRDefault="00D10896" w:rsidP="00675F1D">
            <w:pPr>
              <w:rPr>
                <w:b/>
              </w:rPr>
            </w:pPr>
            <w:r>
              <w:rPr>
                <w:b/>
              </w:rPr>
              <w:t>Proposed Summer and Fall 2019 Schedule</w:t>
            </w:r>
          </w:p>
        </w:tc>
        <w:tc>
          <w:tcPr>
            <w:tcW w:w="1080" w:type="dxa"/>
          </w:tcPr>
          <w:p w:rsidR="00675F1D" w:rsidRPr="00675F1D" w:rsidRDefault="00D10896" w:rsidP="00675F1D">
            <w:pPr>
              <w:rPr>
                <w:highlight w:val="yellow"/>
              </w:rPr>
            </w:pPr>
            <w:r>
              <w:t>11:45</w:t>
            </w:r>
            <w:r w:rsidR="00EF346C">
              <w:t xml:space="preserve"> am</w:t>
            </w:r>
          </w:p>
        </w:tc>
        <w:tc>
          <w:tcPr>
            <w:tcW w:w="1530" w:type="dxa"/>
          </w:tcPr>
          <w:p w:rsidR="00675F1D" w:rsidRPr="00675F1D" w:rsidRDefault="00D10896" w:rsidP="00675F1D">
            <w:r>
              <w:t>Discussion</w:t>
            </w:r>
          </w:p>
        </w:tc>
        <w:tc>
          <w:tcPr>
            <w:tcW w:w="1710" w:type="dxa"/>
          </w:tcPr>
          <w:p w:rsidR="00675F1D" w:rsidRPr="00675F1D" w:rsidRDefault="00D10896" w:rsidP="00675F1D">
            <w:r>
              <w:t>-Proposed meeting schedule</w:t>
            </w:r>
          </w:p>
        </w:tc>
        <w:tc>
          <w:tcPr>
            <w:tcW w:w="1710" w:type="dxa"/>
          </w:tcPr>
          <w:p w:rsidR="00675F1D" w:rsidRPr="00675F1D" w:rsidRDefault="00D10896" w:rsidP="00675F1D">
            <w:r>
              <w:t>Chair</w:t>
            </w:r>
          </w:p>
        </w:tc>
      </w:tr>
      <w:tr w:rsidR="00675F1D" w:rsidRPr="00675F1D" w:rsidTr="00EF346C">
        <w:trPr>
          <w:jc w:val="center"/>
        </w:trPr>
        <w:tc>
          <w:tcPr>
            <w:tcW w:w="3685" w:type="dxa"/>
          </w:tcPr>
          <w:p w:rsidR="00675F1D" w:rsidRPr="00675F1D" w:rsidRDefault="00D10896" w:rsidP="00675F1D">
            <w:pPr>
              <w:rPr>
                <w:b/>
              </w:rPr>
            </w:pPr>
            <w:r>
              <w:rPr>
                <w:b/>
              </w:rPr>
              <w:t>Parking Lot Items</w:t>
            </w:r>
          </w:p>
        </w:tc>
        <w:tc>
          <w:tcPr>
            <w:tcW w:w="1080" w:type="dxa"/>
          </w:tcPr>
          <w:p w:rsidR="00675F1D" w:rsidRPr="00675F1D" w:rsidRDefault="00D10896" w:rsidP="00675F1D">
            <w:r>
              <w:t>11:55</w:t>
            </w:r>
            <w:r w:rsidR="00EF346C">
              <w:t xml:space="preserve"> am</w:t>
            </w:r>
          </w:p>
        </w:tc>
        <w:tc>
          <w:tcPr>
            <w:tcW w:w="1530" w:type="dxa"/>
          </w:tcPr>
          <w:p w:rsidR="00675F1D" w:rsidRPr="00675F1D" w:rsidRDefault="00D10896" w:rsidP="00675F1D">
            <w:r>
              <w:t>Discussion</w:t>
            </w:r>
          </w:p>
        </w:tc>
        <w:tc>
          <w:tcPr>
            <w:tcW w:w="1710" w:type="dxa"/>
          </w:tcPr>
          <w:p w:rsidR="00675F1D" w:rsidRPr="00675F1D" w:rsidRDefault="00675F1D" w:rsidP="00675F1D"/>
        </w:tc>
        <w:tc>
          <w:tcPr>
            <w:tcW w:w="1710" w:type="dxa"/>
          </w:tcPr>
          <w:p w:rsidR="00675F1D" w:rsidRPr="00675F1D" w:rsidRDefault="00675F1D" w:rsidP="00675F1D">
            <w:r w:rsidRPr="00675F1D">
              <w:t>Chair</w:t>
            </w:r>
          </w:p>
        </w:tc>
      </w:tr>
      <w:tr w:rsidR="00D10896" w:rsidRPr="00675F1D" w:rsidTr="00EF346C">
        <w:trPr>
          <w:jc w:val="center"/>
        </w:trPr>
        <w:tc>
          <w:tcPr>
            <w:tcW w:w="3685" w:type="dxa"/>
          </w:tcPr>
          <w:p w:rsidR="00D10896" w:rsidRDefault="00D10896" w:rsidP="00675F1D">
            <w:pPr>
              <w:rPr>
                <w:b/>
              </w:rPr>
            </w:pPr>
            <w:r>
              <w:rPr>
                <w:b/>
              </w:rPr>
              <w:t>Public Comment</w:t>
            </w:r>
          </w:p>
        </w:tc>
        <w:tc>
          <w:tcPr>
            <w:tcW w:w="1080" w:type="dxa"/>
          </w:tcPr>
          <w:p w:rsidR="00D10896" w:rsidRDefault="00D10896" w:rsidP="00675F1D">
            <w:r>
              <w:t>12:05</w:t>
            </w:r>
            <w:r w:rsidR="00EF346C">
              <w:t xml:space="preserve"> pm</w:t>
            </w:r>
          </w:p>
        </w:tc>
        <w:tc>
          <w:tcPr>
            <w:tcW w:w="1530" w:type="dxa"/>
          </w:tcPr>
          <w:p w:rsidR="00D10896" w:rsidRDefault="00D10896" w:rsidP="00675F1D"/>
        </w:tc>
        <w:tc>
          <w:tcPr>
            <w:tcW w:w="1710" w:type="dxa"/>
          </w:tcPr>
          <w:p w:rsidR="00D10896" w:rsidRPr="00675F1D" w:rsidRDefault="00D10896" w:rsidP="00675F1D"/>
        </w:tc>
        <w:tc>
          <w:tcPr>
            <w:tcW w:w="1710" w:type="dxa"/>
          </w:tcPr>
          <w:p w:rsidR="00D10896" w:rsidRPr="00675F1D" w:rsidRDefault="00D10896" w:rsidP="00675F1D"/>
        </w:tc>
      </w:tr>
      <w:tr w:rsidR="00D10896" w:rsidRPr="00675F1D" w:rsidTr="00EF346C">
        <w:trPr>
          <w:jc w:val="center"/>
        </w:trPr>
        <w:tc>
          <w:tcPr>
            <w:tcW w:w="3685" w:type="dxa"/>
          </w:tcPr>
          <w:p w:rsidR="00D10896" w:rsidRDefault="00D10896" w:rsidP="00675F1D">
            <w:pPr>
              <w:rPr>
                <w:b/>
              </w:rPr>
            </w:pPr>
            <w:r>
              <w:rPr>
                <w:b/>
              </w:rPr>
              <w:t>Action Items and Next Steps</w:t>
            </w:r>
          </w:p>
        </w:tc>
        <w:tc>
          <w:tcPr>
            <w:tcW w:w="1080" w:type="dxa"/>
          </w:tcPr>
          <w:p w:rsidR="00D10896" w:rsidRDefault="00D10896" w:rsidP="00675F1D">
            <w:r>
              <w:t>12:15</w:t>
            </w:r>
            <w:r w:rsidR="00EF346C">
              <w:t xml:space="preserve"> pm</w:t>
            </w:r>
          </w:p>
        </w:tc>
        <w:tc>
          <w:tcPr>
            <w:tcW w:w="1530" w:type="dxa"/>
          </w:tcPr>
          <w:p w:rsidR="00D10896" w:rsidRDefault="00D10896" w:rsidP="00675F1D"/>
        </w:tc>
        <w:tc>
          <w:tcPr>
            <w:tcW w:w="1710" w:type="dxa"/>
          </w:tcPr>
          <w:p w:rsidR="00D10896" w:rsidRPr="00675F1D" w:rsidRDefault="00D10896" w:rsidP="00675F1D"/>
        </w:tc>
        <w:tc>
          <w:tcPr>
            <w:tcW w:w="1710" w:type="dxa"/>
          </w:tcPr>
          <w:p w:rsidR="00D10896" w:rsidRPr="00675F1D" w:rsidRDefault="00D10896" w:rsidP="00675F1D">
            <w:r>
              <w:t>Chair/Facilitator</w:t>
            </w:r>
          </w:p>
        </w:tc>
      </w:tr>
    </w:tbl>
    <w:p w:rsidR="00EF346C" w:rsidRDefault="00EF346C" w:rsidP="00EF346C"/>
    <w:p w:rsidR="00EF346C" w:rsidRDefault="00EF346C" w:rsidP="00EF346C"/>
    <w:p w:rsidR="00675F1D" w:rsidRPr="00B56D17" w:rsidRDefault="00675F1D" w:rsidP="00EF346C">
      <w:pPr>
        <w:pStyle w:val="Heading1"/>
        <w:rPr>
          <w:rFonts w:asciiTheme="minorHAnsi" w:hAnsiTheme="minorHAnsi" w:cstheme="minorHAnsi"/>
          <w:sz w:val="26"/>
          <w:szCs w:val="26"/>
        </w:rPr>
      </w:pPr>
      <w:r w:rsidRPr="00B56D17">
        <w:rPr>
          <w:rFonts w:asciiTheme="minorHAnsi" w:hAnsiTheme="minorHAnsi" w:cstheme="minorHAnsi"/>
          <w:sz w:val="26"/>
          <w:szCs w:val="26"/>
        </w:rPr>
        <w:lastRenderedPageBreak/>
        <w:t>Committee Representatives and Alternates in Attendance</w:t>
      </w:r>
    </w:p>
    <w:tbl>
      <w:tblPr>
        <w:tblStyle w:val="TableGrid"/>
        <w:tblW w:w="9216" w:type="dxa"/>
        <w:tblLook w:val="04A0" w:firstRow="1" w:lastRow="0" w:firstColumn="1" w:lastColumn="0" w:noHBand="0" w:noVBand="1"/>
      </w:tblPr>
      <w:tblGrid>
        <w:gridCol w:w="2448"/>
        <w:gridCol w:w="2160"/>
        <w:gridCol w:w="2448"/>
        <w:gridCol w:w="2160"/>
      </w:tblGrid>
      <w:tr w:rsidR="00EF346C" w:rsidRPr="00EF346C" w:rsidTr="005D2C3E">
        <w:trPr>
          <w:tblHeader/>
        </w:trPr>
        <w:tc>
          <w:tcPr>
            <w:tcW w:w="2448" w:type="dxa"/>
            <w:shd w:val="clear" w:color="auto" w:fill="D9D9D9" w:themeFill="background1" w:themeFillShade="D9"/>
          </w:tcPr>
          <w:p w:rsidR="00675F1D" w:rsidRPr="00EF346C" w:rsidRDefault="00675F1D" w:rsidP="00EF346C">
            <w:pPr>
              <w:pStyle w:val="Heading1"/>
              <w:outlineLvl w:val="0"/>
              <w:rPr>
                <w:rFonts w:asciiTheme="minorHAnsi" w:hAnsiTheme="minorHAnsi" w:cstheme="minorHAnsi"/>
                <w:b/>
                <w:color w:val="auto"/>
                <w:sz w:val="22"/>
                <w:szCs w:val="22"/>
              </w:rPr>
            </w:pPr>
            <w:r w:rsidRPr="00EF346C">
              <w:rPr>
                <w:rFonts w:asciiTheme="minorHAnsi" w:hAnsiTheme="minorHAnsi" w:cstheme="minorHAnsi"/>
                <w:b/>
                <w:color w:val="auto"/>
                <w:sz w:val="22"/>
                <w:szCs w:val="22"/>
              </w:rPr>
              <w:t>Name</w:t>
            </w:r>
          </w:p>
        </w:tc>
        <w:tc>
          <w:tcPr>
            <w:tcW w:w="2160" w:type="dxa"/>
            <w:tcBorders>
              <w:right w:val="single" w:sz="12" w:space="0" w:color="auto"/>
            </w:tcBorders>
            <w:shd w:val="clear" w:color="auto" w:fill="D9D9D9" w:themeFill="background1" w:themeFillShade="D9"/>
          </w:tcPr>
          <w:p w:rsidR="00675F1D" w:rsidRPr="00EF346C" w:rsidRDefault="00675F1D" w:rsidP="00EF346C">
            <w:pPr>
              <w:pStyle w:val="Heading1"/>
              <w:outlineLvl w:val="0"/>
              <w:rPr>
                <w:rFonts w:asciiTheme="minorHAnsi" w:hAnsiTheme="minorHAnsi" w:cstheme="minorHAnsi"/>
                <w:b/>
                <w:color w:val="auto"/>
                <w:sz w:val="22"/>
                <w:szCs w:val="22"/>
              </w:rPr>
            </w:pPr>
            <w:r w:rsidRPr="00EF346C">
              <w:rPr>
                <w:rFonts w:asciiTheme="minorHAnsi" w:hAnsiTheme="minorHAnsi" w:cstheme="minorHAnsi"/>
                <w:b/>
                <w:color w:val="auto"/>
                <w:sz w:val="22"/>
                <w:szCs w:val="22"/>
              </w:rPr>
              <w:t>Representing</w:t>
            </w:r>
          </w:p>
        </w:tc>
        <w:tc>
          <w:tcPr>
            <w:tcW w:w="2448" w:type="dxa"/>
            <w:tcBorders>
              <w:left w:val="single" w:sz="12" w:space="0" w:color="auto"/>
            </w:tcBorders>
            <w:shd w:val="clear" w:color="auto" w:fill="D9D9D9" w:themeFill="background1" w:themeFillShade="D9"/>
          </w:tcPr>
          <w:p w:rsidR="00675F1D" w:rsidRPr="00EF346C" w:rsidRDefault="00675F1D" w:rsidP="00EF346C">
            <w:pPr>
              <w:pStyle w:val="Heading1"/>
              <w:outlineLvl w:val="0"/>
              <w:rPr>
                <w:rFonts w:asciiTheme="minorHAnsi" w:hAnsiTheme="minorHAnsi" w:cstheme="minorHAnsi"/>
                <w:b/>
                <w:color w:val="auto"/>
                <w:sz w:val="22"/>
                <w:szCs w:val="22"/>
              </w:rPr>
            </w:pPr>
            <w:r w:rsidRPr="00EF346C">
              <w:rPr>
                <w:rFonts w:asciiTheme="minorHAnsi" w:hAnsiTheme="minorHAnsi" w:cstheme="minorHAnsi"/>
                <w:b/>
                <w:color w:val="auto"/>
                <w:sz w:val="22"/>
                <w:szCs w:val="22"/>
              </w:rPr>
              <w:t>Name</w:t>
            </w:r>
          </w:p>
        </w:tc>
        <w:tc>
          <w:tcPr>
            <w:tcW w:w="2160" w:type="dxa"/>
            <w:shd w:val="clear" w:color="auto" w:fill="D9D9D9" w:themeFill="background1" w:themeFillShade="D9"/>
          </w:tcPr>
          <w:p w:rsidR="00675F1D" w:rsidRPr="00EF346C" w:rsidRDefault="00675F1D" w:rsidP="00EF346C">
            <w:pPr>
              <w:pStyle w:val="Heading1"/>
              <w:outlineLvl w:val="0"/>
              <w:rPr>
                <w:rFonts w:asciiTheme="minorHAnsi" w:hAnsiTheme="minorHAnsi" w:cstheme="minorHAnsi"/>
                <w:b/>
                <w:color w:val="auto"/>
                <w:sz w:val="22"/>
                <w:szCs w:val="22"/>
              </w:rPr>
            </w:pPr>
            <w:r w:rsidRPr="00EF346C">
              <w:rPr>
                <w:rFonts w:asciiTheme="minorHAnsi" w:hAnsiTheme="minorHAnsi" w:cstheme="minorHAnsi"/>
                <w:b/>
                <w:color w:val="auto"/>
                <w:sz w:val="22"/>
                <w:szCs w:val="22"/>
              </w:rPr>
              <w:t>Representing</w:t>
            </w:r>
          </w:p>
        </w:tc>
      </w:tr>
      <w:tr w:rsidR="00675F1D" w:rsidRPr="00675F1D" w:rsidTr="005D2C3E">
        <w:tc>
          <w:tcPr>
            <w:tcW w:w="2448" w:type="dxa"/>
          </w:tcPr>
          <w:p w:rsidR="00675F1D" w:rsidRPr="00675F1D" w:rsidRDefault="001541EF" w:rsidP="00675F1D">
            <w:r>
              <w:t>Paul</w:t>
            </w:r>
            <w:r w:rsidR="00966240">
              <w:t xml:space="preserve"> Pickett</w:t>
            </w:r>
          </w:p>
        </w:tc>
        <w:tc>
          <w:tcPr>
            <w:tcW w:w="2160" w:type="dxa"/>
            <w:tcBorders>
              <w:right w:val="single" w:sz="12" w:space="0" w:color="auto"/>
            </w:tcBorders>
          </w:tcPr>
          <w:p w:rsidR="00675F1D" w:rsidRPr="00675F1D" w:rsidRDefault="00966240" w:rsidP="00675F1D">
            <w:r>
              <w:t>Squaxin Island Tribe</w:t>
            </w:r>
          </w:p>
        </w:tc>
        <w:tc>
          <w:tcPr>
            <w:tcW w:w="2448" w:type="dxa"/>
            <w:tcBorders>
              <w:left w:val="single" w:sz="12" w:space="0" w:color="auto"/>
            </w:tcBorders>
          </w:tcPr>
          <w:p w:rsidR="00675F1D" w:rsidRPr="00675F1D" w:rsidRDefault="001541EF" w:rsidP="00675F1D">
            <w:r>
              <w:t>Kevin Shutty</w:t>
            </w:r>
          </w:p>
        </w:tc>
        <w:tc>
          <w:tcPr>
            <w:tcW w:w="2160" w:type="dxa"/>
          </w:tcPr>
          <w:p w:rsidR="00675F1D" w:rsidRPr="00675F1D" w:rsidRDefault="001541EF" w:rsidP="00675F1D">
            <w:r>
              <w:t>Mason County</w:t>
            </w:r>
          </w:p>
        </w:tc>
      </w:tr>
      <w:tr w:rsidR="00675F1D" w:rsidRPr="00675F1D" w:rsidTr="005D2C3E">
        <w:tc>
          <w:tcPr>
            <w:tcW w:w="2448" w:type="dxa"/>
          </w:tcPr>
          <w:p w:rsidR="00675F1D" w:rsidRPr="00675F1D" w:rsidRDefault="001541EF" w:rsidP="009D7006">
            <w:pPr>
              <w:tabs>
                <w:tab w:val="center" w:pos="1116"/>
              </w:tabs>
            </w:pPr>
            <w:r>
              <w:t>Larry Boltz</w:t>
            </w:r>
          </w:p>
        </w:tc>
        <w:tc>
          <w:tcPr>
            <w:tcW w:w="2160" w:type="dxa"/>
            <w:tcBorders>
              <w:right w:val="single" w:sz="12" w:space="0" w:color="auto"/>
            </w:tcBorders>
          </w:tcPr>
          <w:p w:rsidR="00675F1D" w:rsidRPr="00675F1D" w:rsidRDefault="00EF346C" w:rsidP="00675F1D">
            <w:r>
              <w:t>Mason Kitsap</w:t>
            </w:r>
            <w:r w:rsidR="001541EF">
              <w:t xml:space="preserve"> Farm Bureau</w:t>
            </w:r>
          </w:p>
        </w:tc>
        <w:tc>
          <w:tcPr>
            <w:tcW w:w="2448" w:type="dxa"/>
            <w:tcBorders>
              <w:left w:val="single" w:sz="12" w:space="0" w:color="auto"/>
            </w:tcBorders>
          </w:tcPr>
          <w:p w:rsidR="00675F1D" w:rsidRPr="00675F1D" w:rsidRDefault="001541EF" w:rsidP="009D7006">
            <w:r>
              <w:t>Barbara Adkins</w:t>
            </w:r>
          </w:p>
        </w:tc>
        <w:tc>
          <w:tcPr>
            <w:tcW w:w="2160" w:type="dxa"/>
          </w:tcPr>
          <w:p w:rsidR="00675F1D" w:rsidRPr="00675F1D" w:rsidRDefault="001541EF" w:rsidP="00675F1D">
            <w:r>
              <w:t>Mason County</w:t>
            </w:r>
          </w:p>
        </w:tc>
      </w:tr>
      <w:tr w:rsidR="00675F1D" w:rsidRPr="00675F1D" w:rsidTr="005D2C3E">
        <w:tc>
          <w:tcPr>
            <w:tcW w:w="2448" w:type="dxa"/>
          </w:tcPr>
          <w:p w:rsidR="00675F1D" w:rsidRPr="00675F1D" w:rsidRDefault="001541EF" w:rsidP="00675F1D">
            <w:r>
              <w:t>Allison Cook</w:t>
            </w:r>
          </w:p>
        </w:tc>
        <w:tc>
          <w:tcPr>
            <w:tcW w:w="2160" w:type="dxa"/>
            <w:tcBorders>
              <w:right w:val="single" w:sz="12" w:space="0" w:color="auto"/>
            </w:tcBorders>
          </w:tcPr>
          <w:p w:rsidR="00675F1D" w:rsidRPr="00675F1D" w:rsidRDefault="001541EF" w:rsidP="00675F1D">
            <w:r>
              <w:t>Department of Fish and Wildlife</w:t>
            </w:r>
          </w:p>
        </w:tc>
        <w:tc>
          <w:tcPr>
            <w:tcW w:w="2448" w:type="dxa"/>
            <w:tcBorders>
              <w:left w:val="single" w:sz="12" w:space="0" w:color="auto"/>
            </w:tcBorders>
          </w:tcPr>
          <w:p w:rsidR="00675F1D" w:rsidRPr="00675F1D" w:rsidRDefault="001541EF" w:rsidP="00675F1D">
            <w:r>
              <w:t>Fern Schultz</w:t>
            </w:r>
          </w:p>
        </w:tc>
        <w:tc>
          <w:tcPr>
            <w:tcW w:w="2160" w:type="dxa"/>
          </w:tcPr>
          <w:p w:rsidR="00675F1D" w:rsidRPr="00675F1D" w:rsidRDefault="001541EF" w:rsidP="00675F1D">
            <w:r>
              <w:t>Department of Health</w:t>
            </w:r>
          </w:p>
        </w:tc>
      </w:tr>
      <w:tr w:rsidR="00675F1D" w:rsidRPr="00675F1D" w:rsidTr="005D2C3E">
        <w:tc>
          <w:tcPr>
            <w:tcW w:w="2448" w:type="dxa"/>
          </w:tcPr>
          <w:p w:rsidR="00675F1D" w:rsidRPr="00675F1D" w:rsidRDefault="001541EF" w:rsidP="00675F1D">
            <w:r>
              <w:t>Seth Book</w:t>
            </w:r>
          </w:p>
        </w:tc>
        <w:tc>
          <w:tcPr>
            <w:tcW w:w="2160" w:type="dxa"/>
            <w:tcBorders>
              <w:right w:val="single" w:sz="12" w:space="0" w:color="auto"/>
            </w:tcBorders>
          </w:tcPr>
          <w:p w:rsidR="00675F1D" w:rsidRPr="00675F1D" w:rsidRDefault="00EF346C" w:rsidP="00675F1D">
            <w:r>
              <w:t>Skokomish Indian Trib</w:t>
            </w:r>
            <w:r w:rsidR="001541EF">
              <w:t>e</w:t>
            </w:r>
          </w:p>
        </w:tc>
        <w:tc>
          <w:tcPr>
            <w:tcW w:w="2448" w:type="dxa"/>
            <w:tcBorders>
              <w:left w:val="single" w:sz="12" w:space="0" w:color="auto"/>
            </w:tcBorders>
          </w:tcPr>
          <w:p w:rsidR="00675F1D" w:rsidRPr="00675F1D" w:rsidRDefault="001541EF" w:rsidP="009D7006">
            <w:r>
              <w:t>Kaitlin Nelson</w:t>
            </w:r>
          </w:p>
        </w:tc>
        <w:tc>
          <w:tcPr>
            <w:tcW w:w="2160" w:type="dxa"/>
          </w:tcPr>
          <w:p w:rsidR="00675F1D" w:rsidRPr="00675F1D" w:rsidRDefault="001541EF" w:rsidP="00675F1D">
            <w:r>
              <w:t>Thurston County</w:t>
            </w:r>
          </w:p>
        </w:tc>
      </w:tr>
      <w:tr w:rsidR="00675F1D" w:rsidRPr="00675F1D" w:rsidTr="005D2C3E">
        <w:tc>
          <w:tcPr>
            <w:tcW w:w="2448" w:type="dxa"/>
          </w:tcPr>
          <w:p w:rsidR="00675F1D" w:rsidRPr="00675F1D" w:rsidRDefault="001541EF" w:rsidP="009D7006">
            <w:r>
              <w:t>Marilyn Vogler</w:t>
            </w:r>
          </w:p>
        </w:tc>
        <w:tc>
          <w:tcPr>
            <w:tcW w:w="2160" w:type="dxa"/>
            <w:tcBorders>
              <w:right w:val="single" w:sz="12" w:space="0" w:color="auto"/>
            </w:tcBorders>
          </w:tcPr>
          <w:p w:rsidR="00675F1D" w:rsidRPr="00675F1D" w:rsidRDefault="001541EF" w:rsidP="00675F1D">
            <w:r>
              <w:t>Washington Chapter Sierra Club</w:t>
            </w:r>
          </w:p>
        </w:tc>
        <w:tc>
          <w:tcPr>
            <w:tcW w:w="2448" w:type="dxa"/>
            <w:tcBorders>
              <w:left w:val="single" w:sz="12" w:space="0" w:color="auto"/>
            </w:tcBorders>
          </w:tcPr>
          <w:p w:rsidR="00675F1D" w:rsidRPr="00675F1D" w:rsidRDefault="003A395E" w:rsidP="00675F1D">
            <w:r>
              <w:t>Angela Johnson</w:t>
            </w:r>
          </w:p>
        </w:tc>
        <w:tc>
          <w:tcPr>
            <w:tcW w:w="2160" w:type="dxa"/>
          </w:tcPr>
          <w:p w:rsidR="00675F1D" w:rsidRPr="00675F1D" w:rsidRDefault="003A395E" w:rsidP="00675F1D">
            <w:r>
              <w:t>WA Ecology</w:t>
            </w:r>
          </w:p>
        </w:tc>
      </w:tr>
      <w:tr w:rsidR="00EF346C" w:rsidRPr="00675F1D" w:rsidTr="005D2C3E">
        <w:tc>
          <w:tcPr>
            <w:tcW w:w="2448" w:type="dxa"/>
          </w:tcPr>
          <w:p w:rsidR="00EF346C" w:rsidRPr="00675F1D" w:rsidRDefault="00EF346C" w:rsidP="00EF346C">
            <w:r>
              <w:t>Erin Hall</w:t>
            </w:r>
          </w:p>
        </w:tc>
        <w:tc>
          <w:tcPr>
            <w:tcW w:w="2160" w:type="dxa"/>
            <w:tcBorders>
              <w:right w:val="single" w:sz="12" w:space="0" w:color="auto"/>
            </w:tcBorders>
          </w:tcPr>
          <w:p w:rsidR="00EF346C" w:rsidRPr="00675F1D" w:rsidRDefault="00EF346C" w:rsidP="00EF346C">
            <w:r>
              <w:t>Olympia Master Builders</w:t>
            </w:r>
          </w:p>
        </w:tc>
        <w:tc>
          <w:tcPr>
            <w:tcW w:w="2448" w:type="dxa"/>
            <w:tcBorders>
              <w:left w:val="single" w:sz="12" w:space="0" w:color="auto"/>
            </w:tcBorders>
          </w:tcPr>
          <w:p w:rsidR="00EF346C" w:rsidRPr="00675F1D" w:rsidRDefault="00EF346C" w:rsidP="00EF346C">
            <w:r>
              <w:t>Ron Gold</w:t>
            </w:r>
          </w:p>
        </w:tc>
        <w:tc>
          <w:tcPr>
            <w:tcW w:w="2160" w:type="dxa"/>
          </w:tcPr>
          <w:p w:rsidR="00EF346C" w:rsidRPr="00675F1D" w:rsidRDefault="00EF346C" w:rsidP="00EF346C">
            <w:r>
              <w:t>Mason County PUD No.1</w:t>
            </w:r>
          </w:p>
        </w:tc>
      </w:tr>
    </w:tbl>
    <w:p w:rsidR="001541EF" w:rsidRDefault="001541EF" w:rsidP="00675F1D">
      <w:pPr>
        <w:spacing w:after="0" w:line="240" w:lineRule="auto"/>
        <w:outlineLvl w:val="1"/>
      </w:pPr>
    </w:p>
    <w:p w:rsidR="00675F1D" w:rsidRPr="00B56D17" w:rsidRDefault="009D7006" w:rsidP="00EF346C">
      <w:pPr>
        <w:pStyle w:val="Heading1"/>
        <w:rPr>
          <w:rFonts w:asciiTheme="minorHAnsi" w:hAnsiTheme="minorHAnsi" w:cstheme="minorHAnsi"/>
          <w:sz w:val="26"/>
          <w:szCs w:val="26"/>
        </w:rPr>
      </w:pPr>
      <w:r w:rsidRPr="00B56D17">
        <w:rPr>
          <w:rFonts w:asciiTheme="minorHAnsi" w:hAnsiTheme="minorHAnsi" w:cstheme="minorHAnsi"/>
          <w:sz w:val="26"/>
          <w:szCs w:val="26"/>
        </w:rPr>
        <w:t>Other Attendees</w:t>
      </w:r>
    </w:p>
    <w:tbl>
      <w:tblPr>
        <w:tblStyle w:val="TableGrid"/>
        <w:tblW w:w="9216" w:type="dxa"/>
        <w:tblLook w:val="04A0" w:firstRow="1" w:lastRow="0" w:firstColumn="1" w:lastColumn="0" w:noHBand="0" w:noVBand="1"/>
      </w:tblPr>
      <w:tblGrid>
        <w:gridCol w:w="2448"/>
        <w:gridCol w:w="2160"/>
        <w:gridCol w:w="2448"/>
        <w:gridCol w:w="2160"/>
      </w:tblGrid>
      <w:tr w:rsidR="00EF346C" w:rsidRPr="00EF346C" w:rsidTr="005D2C3E">
        <w:trPr>
          <w:tblHeader/>
        </w:trPr>
        <w:tc>
          <w:tcPr>
            <w:tcW w:w="2448" w:type="dxa"/>
            <w:shd w:val="clear" w:color="auto" w:fill="D9D9D9" w:themeFill="background1" w:themeFillShade="D9"/>
          </w:tcPr>
          <w:p w:rsidR="00675F1D" w:rsidRPr="00EF346C" w:rsidRDefault="00675F1D" w:rsidP="00EF346C">
            <w:pPr>
              <w:pStyle w:val="Heading1"/>
              <w:outlineLvl w:val="0"/>
              <w:rPr>
                <w:rFonts w:asciiTheme="minorHAnsi" w:hAnsiTheme="minorHAnsi" w:cstheme="minorHAnsi"/>
                <w:b/>
                <w:color w:val="auto"/>
                <w:sz w:val="22"/>
                <w:szCs w:val="22"/>
              </w:rPr>
            </w:pPr>
            <w:r w:rsidRPr="00EF346C">
              <w:rPr>
                <w:rFonts w:asciiTheme="minorHAnsi" w:hAnsiTheme="minorHAnsi" w:cstheme="minorHAnsi"/>
                <w:b/>
                <w:color w:val="auto"/>
                <w:sz w:val="22"/>
                <w:szCs w:val="22"/>
              </w:rPr>
              <w:t>Name</w:t>
            </w:r>
          </w:p>
        </w:tc>
        <w:tc>
          <w:tcPr>
            <w:tcW w:w="2160" w:type="dxa"/>
            <w:tcBorders>
              <w:right w:val="single" w:sz="12" w:space="0" w:color="auto"/>
            </w:tcBorders>
            <w:shd w:val="clear" w:color="auto" w:fill="D9D9D9" w:themeFill="background1" w:themeFillShade="D9"/>
          </w:tcPr>
          <w:p w:rsidR="00675F1D" w:rsidRPr="00EF346C" w:rsidRDefault="00675F1D" w:rsidP="00EF346C">
            <w:pPr>
              <w:pStyle w:val="Heading1"/>
              <w:outlineLvl w:val="0"/>
              <w:rPr>
                <w:rFonts w:asciiTheme="minorHAnsi" w:hAnsiTheme="minorHAnsi" w:cstheme="minorHAnsi"/>
                <w:b/>
                <w:color w:val="auto"/>
                <w:sz w:val="22"/>
                <w:szCs w:val="22"/>
              </w:rPr>
            </w:pPr>
            <w:r w:rsidRPr="00EF346C">
              <w:rPr>
                <w:rFonts w:asciiTheme="minorHAnsi" w:hAnsiTheme="minorHAnsi" w:cstheme="minorHAnsi"/>
                <w:b/>
                <w:color w:val="auto"/>
                <w:sz w:val="22"/>
                <w:szCs w:val="22"/>
              </w:rPr>
              <w:t>Representing</w:t>
            </w:r>
          </w:p>
        </w:tc>
        <w:tc>
          <w:tcPr>
            <w:tcW w:w="2448" w:type="dxa"/>
            <w:tcBorders>
              <w:left w:val="single" w:sz="12" w:space="0" w:color="auto"/>
            </w:tcBorders>
            <w:shd w:val="clear" w:color="auto" w:fill="D9D9D9" w:themeFill="background1" w:themeFillShade="D9"/>
          </w:tcPr>
          <w:p w:rsidR="00675F1D" w:rsidRPr="00EF346C" w:rsidRDefault="00675F1D" w:rsidP="00EF346C">
            <w:pPr>
              <w:pStyle w:val="Heading1"/>
              <w:outlineLvl w:val="0"/>
              <w:rPr>
                <w:rFonts w:asciiTheme="minorHAnsi" w:hAnsiTheme="minorHAnsi" w:cstheme="minorHAnsi"/>
                <w:b/>
                <w:color w:val="auto"/>
                <w:sz w:val="22"/>
                <w:szCs w:val="22"/>
              </w:rPr>
            </w:pPr>
            <w:r w:rsidRPr="00EF346C">
              <w:rPr>
                <w:rFonts w:asciiTheme="minorHAnsi" w:hAnsiTheme="minorHAnsi" w:cstheme="minorHAnsi"/>
                <w:b/>
                <w:color w:val="auto"/>
                <w:sz w:val="22"/>
                <w:szCs w:val="22"/>
              </w:rPr>
              <w:t>Name</w:t>
            </w:r>
          </w:p>
        </w:tc>
        <w:tc>
          <w:tcPr>
            <w:tcW w:w="2160" w:type="dxa"/>
            <w:shd w:val="clear" w:color="auto" w:fill="D9D9D9" w:themeFill="background1" w:themeFillShade="D9"/>
          </w:tcPr>
          <w:p w:rsidR="00675F1D" w:rsidRPr="00EF346C" w:rsidRDefault="00675F1D" w:rsidP="00EF346C">
            <w:pPr>
              <w:pStyle w:val="Heading1"/>
              <w:outlineLvl w:val="0"/>
              <w:rPr>
                <w:rFonts w:asciiTheme="minorHAnsi" w:hAnsiTheme="minorHAnsi" w:cstheme="minorHAnsi"/>
                <w:b/>
                <w:color w:val="auto"/>
                <w:sz w:val="22"/>
                <w:szCs w:val="22"/>
              </w:rPr>
            </w:pPr>
            <w:r w:rsidRPr="00EF346C">
              <w:rPr>
                <w:rFonts w:asciiTheme="minorHAnsi" w:hAnsiTheme="minorHAnsi" w:cstheme="minorHAnsi"/>
                <w:b/>
                <w:color w:val="auto"/>
                <w:sz w:val="22"/>
                <w:szCs w:val="22"/>
              </w:rPr>
              <w:t>Representing</w:t>
            </w:r>
          </w:p>
        </w:tc>
      </w:tr>
      <w:tr w:rsidR="00EF346C" w:rsidRPr="00675F1D" w:rsidTr="005D2C3E">
        <w:tc>
          <w:tcPr>
            <w:tcW w:w="2448" w:type="dxa"/>
          </w:tcPr>
          <w:p w:rsidR="00EF346C" w:rsidRPr="00675F1D" w:rsidRDefault="00EF346C" w:rsidP="00EF346C">
            <w:r>
              <w:t>Susan Gulick</w:t>
            </w:r>
          </w:p>
        </w:tc>
        <w:tc>
          <w:tcPr>
            <w:tcW w:w="2160" w:type="dxa"/>
            <w:tcBorders>
              <w:right w:val="single" w:sz="12" w:space="0" w:color="auto"/>
            </w:tcBorders>
          </w:tcPr>
          <w:p w:rsidR="00EF346C" w:rsidRPr="00675F1D" w:rsidRDefault="00EF346C" w:rsidP="00EF346C">
            <w:r>
              <w:t>Sound Resolutions (Facilitator)</w:t>
            </w:r>
          </w:p>
        </w:tc>
        <w:tc>
          <w:tcPr>
            <w:tcW w:w="2448" w:type="dxa"/>
            <w:tcBorders>
              <w:left w:val="single" w:sz="12" w:space="0" w:color="auto"/>
            </w:tcBorders>
          </w:tcPr>
          <w:p w:rsidR="00EF346C" w:rsidRPr="00675F1D" w:rsidRDefault="00EF346C" w:rsidP="00EF346C">
            <w:r>
              <w:t>Jimmy Kralj</w:t>
            </w:r>
          </w:p>
        </w:tc>
        <w:tc>
          <w:tcPr>
            <w:tcW w:w="2160" w:type="dxa"/>
          </w:tcPr>
          <w:p w:rsidR="00EF346C" w:rsidRPr="00675F1D" w:rsidRDefault="00EF346C" w:rsidP="00EF346C">
            <w:r>
              <w:t>ESA (Information manager)</w:t>
            </w:r>
          </w:p>
        </w:tc>
      </w:tr>
      <w:tr w:rsidR="00EF346C" w:rsidRPr="00675F1D" w:rsidTr="005D2C3E">
        <w:tc>
          <w:tcPr>
            <w:tcW w:w="2448" w:type="dxa"/>
          </w:tcPr>
          <w:p w:rsidR="00EF346C" w:rsidRPr="00675F1D" w:rsidRDefault="00EF346C" w:rsidP="00EF346C">
            <w:r>
              <w:t>Gino Lucchetti</w:t>
            </w:r>
          </w:p>
        </w:tc>
        <w:tc>
          <w:tcPr>
            <w:tcW w:w="2160" w:type="dxa"/>
            <w:tcBorders>
              <w:right w:val="single" w:sz="12" w:space="0" w:color="auto"/>
            </w:tcBorders>
          </w:tcPr>
          <w:p w:rsidR="00EF346C" w:rsidRPr="00675F1D" w:rsidRDefault="00EF346C" w:rsidP="00EF346C">
            <w:r>
              <w:t>Squaxin Island Tribe</w:t>
            </w:r>
          </w:p>
        </w:tc>
        <w:tc>
          <w:tcPr>
            <w:tcW w:w="2448" w:type="dxa"/>
            <w:tcBorders>
              <w:left w:val="single" w:sz="12" w:space="0" w:color="auto"/>
            </w:tcBorders>
          </w:tcPr>
          <w:p w:rsidR="00EF346C" w:rsidRPr="00675F1D" w:rsidRDefault="00EF346C" w:rsidP="00EF346C">
            <w:r>
              <w:t>Kell Rowen</w:t>
            </w:r>
          </w:p>
        </w:tc>
        <w:tc>
          <w:tcPr>
            <w:tcW w:w="2160" w:type="dxa"/>
          </w:tcPr>
          <w:p w:rsidR="00EF346C" w:rsidRPr="00675F1D" w:rsidRDefault="00EF346C" w:rsidP="00EF346C">
            <w:r>
              <w:t>Mason County</w:t>
            </w:r>
          </w:p>
        </w:tc>
      </w:tr>
      <w:tr w:rsidR="00EF346C" w:rsidRPr="00675F1D" w:rsidTr="005D2C3E">
        <w:tc>
          <w:tcPr>
            <w:tcW w:w="2448" w:type="dxa"/>
          </w:tcPr>
          <w:p w:rsidR="00EF346C" w:rsidRPr="00675F1D" w:rsidRDefault="00EF346C" w:rsidP="00EF346C">
            <w:r>
              <w:t>Erica Marbet</w:t>
            </w:r>
          </w:p>
        </w:tc>
        <w:tc>
          <w:tcPr>
            <w:tcW w:w="2160" w:type="dxa"/>
            <w:tcBorders>
              <w:right w:val="single" w:sz="12" w:space="0" w:color="auto"/>
            </w:tcBorders>
          </w:tcPr>
          <w:p w:rsidR="00EF346C" w:rsidRPr="00675F1D" w:rsidRDefault="00EF346C" w:rsidP="00EF346C">
            <w:r>
              <w:t>Squaxin Island Tribe</w:t>
            </w:r>
          </w:p>
        </w:tc>
        <w:tc>
          <w:tcPr>
            <w:tcW w:w="2448" w:type="dxa"/>
            <w:tcBorders>
              <w:left w:val="single" w:sz="12" w:space="0" w:color="auto"/>
            </w:tcBorders>
          </w:tcPr>
          <w:p w:rsidR="00EF346C" w:rsidRPr="00675F1D" w:rsidRDefault="00EF346C" w:rsidP="00EF346C">
            <w:r>
              <w:t>Dana Sarff</w:t>
            </w:r>
          </w:p>
        </w:tc>
        <w:tc>
          <w:tcPr>
            <w:tcW w:w="2160" w:type="dxa"/>
          </w:tcPr>
          <w:p w:rsidR="00EF346C" w:rsidRPr="00675F1D" w:rsidRDefault="00EF346C" w:rsidP="00EF346C">
            <w:r>
              <w:t>Skokomish</w:t>
            </w:r>
          </w:p>
        </w:tc>
      </w:tr>
      <w:tr w:rsidR="00EF346C" w:rsidRPr="00675F1D" w:rsidTr="005D2C3E">
        <w:tc>
          <w:tcPr>
            <w:tcW w:w="2448" w:type="dxa"/>
          </w:tcPr>
          <w:p w:rsidR="00EF346C" w:rsidRDefault="00EF346C" w:rsidP="00EF346C">
            <w:r>
              <w:t>Alison Osterberg</w:t>
            </w:r>
          </w:p>
        </w:tc>
        <w:tc>
          <w:tcPr>
            <w:tcW w:w="2160" w:type="dxa"/>
            <w:tcBorders>
              <w:right w:val="single" w:sz="12" w:space="0" w:color="auto"/>
            </w:tcBorders>
          </w:tcPr>
          <w:p w:rsidR="00EF346C" w:rsidRDefault="00EF346C" w:rsidP="00EF346C">
            <w:r>
              <w:t>Thurston County</w:t>
            </w:r>
          </w:p>
        </w:tc>
        <w:tc>
          <w:tcPr>
            <w:tcW w:w="2448" w:type="dxa"/>
            <w:tcBorders>
              <w:left w:val="single" w:sz="12" w:space="0" w:color="auto"/>
            </w:tcBorders>
          </w:tcPr>
          <w:p w:rsidR="00EF346C" w:rsidRDefault="00EF346C" w:rsidP="00EF346C">
            <w:r>
              <w:t>Shelley Spalding</w:t>
            </w:r>
          </w:p>
        </w:tc>
        <w:tc>
          <w:tcPr>
            <w:tcW w:w="2160" w:type="dxa"/>
          </w:tcPr>
          <w:p w:rsidR="00EF346C" w:rsidRDefault="00EF346C" w:rsidP="00EF346C">
            <w:r>
              <w:t>Sierra Club</w:t>
            </w:r>
          </w:p>
        </w:tc>
      </w:tr>
      <w:tr w:rsidR="00EF346C" w:rsidRPr="00675F1D" w:rsidTr="005D2C3E">
        <w:tc>
          <w:tcPr>
            <w:tcW w:w="2448" w:type="dxa"/>
          </w:tcPr>
          <w:p w:rsidR="00EF346C" w:rsidRDefault="00EF346C" w:rsidP="00EF346C">
            <w:r>
              <w:t>Jason Dose</w:t>
            </w:r>
          </w:p>
        </w:tc>
        <w:tc>
          <w:tcPr>
            <w:tcW w:w="2160" w:type="dxa"/>
            <w:tcBorders>
              <w:right w:val="single" w:sz="12" w:space="0" w:color="auto"/>
            </w:tcBorders>
          </w:tcPr>
          <w:p w:rsidR="00EF346C" w:rsidRDefault="00EF346C" w:rsidP="00EF346C">
            <w:r>
              <w:t>City of Shelton</w:t>
            </w:r>
          </w:p>
        </w:tc>
        <w:tc>
          <w:tcPr>
            <w:tcW w:w="2448" w:type="dxa"/>
            <w:tcBorders>
              <w:left w:val="single" w:sz="12" w:space="0" w:color="auto"/>
            </w:tcBorders>
          </w:tcPr>
          <w:p w:rsidR="00EF346C" w:rsidRDefault="00EF346C" w:rsidP="00EF346C">
            <w:r>
              <w:t>Mark Ziegler</w:t>
            </w:r>
          </w:p>
        </w:tc>
        <w:tc>
          <w:tcPr>
            <w:tcW w:w="2160" w:type="dxa"/>
          </w:tcPr>
          <w:p w:rsidR="00EF346C" w:rsidRDefault="00EF346C" w:rsidP="00EF346C">
            <w:r>
              <w:t>City of Shelton</w:t>
            </w:r>
          </w:p>
        </w:tc>
      </w:tr>
    </w:tbl>
    <w:p w:rsidR="00675F1D" w:rsidRPr="00675F1D" w:rsidRDefault="00675F1D" w:rsidP="007D7CCD">
      <w:pPr>
        <w:spacing w:after="0" w:line="240" w:lineRule="auto"/>
        <w:jc w:val="center"/>
        <w:rPr>
          <w:b/>
        </w:rPr>
      </w:pPr>
    </w:p>
    <w:p w:rsidR="00E8430A" w:rsidRPr="00B56D17" w:rsidRDefault="00675F1D" w:rsidP="00A66864">
      <w:pPr>
        <w:pStyle w:val="Heading1"/>
        <w:rPr>
          <w:rFonts w:asciiTheme="minorHAnsi" w:hAnsiTheme="minorHAnsi" w:cstheme="minorHAnsi"/>
          <w:sz w:val="26"/>
          <w:szCs w:val="26"/>
        </w:rPr>
      </w:pPr>
      <w:r w:rsidRPr="00B56D17">
        <w:rPr>
          <w:rFonts w:asciiTheme="minorHAnsi" w:hAnsiTheme="minorHAnsi" w:cstheme="minorHAnsi"/>
          <w:sz w:val="26"/>
          <w:szCs w:val="26"/>
        </w:rPr>
        <w:t xml:space="preserve">Approval of March Summary and </w:t>
      </w:r>
      <w:r w:rsidR="001A57CB" w:rsidRPr="00B56D17">
        <w:rPr>
          <w:rFonts w:asciiTheme="minorHAnsi" w:hAnsiTheme="minorHAnsi" w:cstheme="minorHAnsi"/>
          <w:sz w:val="26"/>
          <w:szCs w:val="26"/>
        </w:rPr>
        <w:t>review of April Agenda</w:t>
      </w:r>
      <w:r w:rsidRPr="00B56D17">
        <w:rPr>
          <w:rFonts w:asciiTheme="minorHAnsi" w:hAnsiTheme="minorHAnsi" w:cstheme="minorHAnsi"/>
          <w:sz w:val="26"/>
          <w:szCs w:val="26"/>
        </w:rPr>
        <w:t>:</w:t>
      </w:r>
    </w:p>
    <w:p w:rsidR="007D7CCD" w:rsidRPr="0001680B" w:rsidRDefault="00ED6496" w:rsidP="00B56D17">
      <w:pPr>
        <w:pStyle w:val="Heading2"/>
        <w:rPr>
          <w:rFonts w:asciiTheme="minorHAnsi" w:hAnsiTheme="minorHAnsi" w:cstheme="minorHAnsi"/>
          <w:color w:val="auto"/>
          <w:sz w:val="22"/>
          <w:szCs w:val="22"/>
          <w:u w:val="single"/>
        </w:rPr>
      </w:pPr>
      <w:r w:rsidRPr="0001680B">
        <w:rPr>
          <w:rFonts w:asciiTheme="minorHAnsi" w:hAnsiTheme="minorHAnsi" w:cstheme="minorHAnsi"/>
          <w:color w:val="auto"/>
          <w:sz w:val="22"/>
          <w:szCs w:val="22"/>
          <w:u w:val="single"/>
        </w:rPr>
        <w:t>Discussion:</w:t>
      </w:r>
    </w:p>
    <w:p w:rsidR="00A66864" w:rsidRDefault="00A66864" w:rsidP="001541EF">
      <w:pPr>
        <w:pStyle w:val="ListParagraph"/>
        <w:numPr>
          <w:ilvl w:val="0"/>
          <w:numId w:val="7"/>
        </w:numPr>
      </w:pPr>
      <w:r>
        <w:t>Language was clarified in the March meeting summary to reflect the following:</w:t>
      </w:r>
    </w:p>
    <w:p w:rsidR="00A66864" w:rsidRDefault="001541EF" w:rsidP="00A66864">
      <w:pPr>
        <w:pStyle w:val="ListParagraph"/>
        <w:numPr>
          <w:ilvl w:val="1"/>
          <w:numId w:val="7"/>
        </w:numPr>
      </w:pPr>
      <w:r>
        <w:t xml:space="preserve">Squaxin Island Tribe Grant Project: Squaxin Island </w:t>
      </w:r>
      <w:r w:rsidR="00E8430A">
        <w:t>has</w:t>
      </w:r>
      <w:r w:rsidR="00E237F7">
        <w:t xml:space="preserve"> received a</w:t>
      </w:r>
      <w:r>
        <w:t xml:space="preserve"> </w:t>
      </w:r>
      <w:r w:rsidR="00E237F7">
        <w:t xml:space="preserve">FY19 </w:t>
      </w:r>
      <w:r>
        <w:t>Streamflow Restoration grant in cooperation with City of Shelton</w:t>
      </w:r>
      <w:r w:rsidR="00A66864">
        <w:t xml:space="preserve"> and Dept. of Corrections</w:t>
      </w:r>
      <w:r w:rsidR="00E8430A">
        <w:t xml:space="preserve">. </w:t>
      </w:r>
    </w:p>
    <w:p w:rsidR="001541EF" w:rsidRDefault="00E8430A" w:rsidP="00A66864">
      <w:pPr>
        <w:pStyle w:val="ListParagraph"/>
        <w:numPr>
          <w:ilvl w:val="1"/>
          <w:numId w:val="7"/>
        </w:numPr>
      </w:pPr>
      <w:r>
        <w:t xml:space="preserve">Mason County and the </w:t>
      </w:r>
      <w:r w:rsidR="00A66864">
        <w:t xml:space="preserve">Squaxin Island </w:t>
      </w:r>
      <w:r>
        <w:t>T</w:t>
      </w:r>
      <w:r w:rsidR="001541EF">
        <w:t>ribe have developed an agreement to work collaboratively.</w:t>
      </w:r>
    </w:p>
    <w:p w:rsidR="00966240" w:rsidRDefault="00E8430A" w:rsidP="00A66864">
      <w:pPr>
        <w:pStyle w:val="ListParagraph"/>
        <w:numPr>
          <w:ilvl w:val="1"/>
          <w:numId w:val="7"/>
        </w:numPr>
      </w:pPr>
      <w:r>
        <w:t>The</w:t>
      </w:r>
      <w:r w:rsidR="001541EF">
        <w:t xml:space="preserve"> “etc.” from the data ne</w:t>
      </w:r>
      <w:r w:rsidR="00966240">
        <w:t>eds discussion paragraph in Marc</w:t>
      </w:r>
      <w:r w:rsidR="001541EF">
        <w:t>h meeting Summary</w:t>
      </w:r>
      <w:r w:rsidR="00A66864">
        <w:t xml:space="preserve"> was removed.  </w:t>
      </w:r>
      <w:r>
        <w:t>It was</w:t>
      </w:r>
      <w:r w:rsidR="001541EF">
        <w:t xml:space="preserve"> replaced with “related issues” to reflect that the </w:t>
      </w:r>
      <w:r w:rsidR="00255592">
        <w:t>workgroup</w:t>
      </w:r>
      <w:r w:rsidR="001541EF">
        <w:t xml:space="preserve"> has a clear direction</w:t>
      </w:r>
      <w:r w:rsidR="00966240">
        <w:t>.</w:t>
      </w:r>
    </w:p>
    <w:p w:rsidR="00ED6496" w:rsidRDefault="00233E37" w:rsidP="00A66864">
      <w:pPr>
        <w:pStyle w:val="ListParagraph"/>
        <w:numPr>
          <w:ilvl w:val="1"/>
          <w:numId w:val="7"/>
        </w:numPr>
      </w:pPr>
      <w:r>
        <w:t>Although ex</w:t>
      </w:r>
      <w:r w:rsidR="00966240">
        <w:t>-officio members</w:t>
      </w:r>
      <w:r>
        <w:t xml:space="preserve"> are non-decision making members, they</w:t>
      </w:r>
      <w:r w:rsidR="00966240">
        <w:t xml:space="preserve"> are asked to sign </w:t>
      </w:r>
      <w:r>
        <w:t>and agree to the operating principles</w:t>
      </w:r>
      <w:r w:rsidR="00966240">
        <w:t xml:space="preserve">. </w:t>
      </w:r>
      <w:r>
        <w:t>The language was clarified to state that the operating principles will not be changed</w:t>
      </w:r>
      <w:r w:rsidR="00966240">
        <w:t xml:space="preserve">, </w:t>
      </w:r>
      <w:r>
        <w:t>and that an ex-officio member would like to join the committee</w:t>
      </w:r>
      <w:r w:rsidR="00966240">
        <w:t>, they must agree to the</w:t>
      </w:r>
      <w:r>
        <w:t xml:space="preserve"> already established</w:t>
      </w:r>
      <w:r w:rsidR="00966240">
        <w:t xml:space="preserve"> </w:t>
      </w:r>
      <w:r>
        <w:t xml:space="preserve">operating </w:t>
      </w:r>
      <w:r w:rsidR="00966240">
        <w:t>principles.</w:t>
      </w:r>
      <w:r w:rsidR="001541EF">
        <w:t xml:space="preserve"> </w:t>
      </w:r>
    </w:p>
    <w:p w:rsidR="00ED6496" w:rsidRPr="0001680B" w:rsidRDefault="00ED6496" w:rsidP="00B56D17">
      <w:pPr>
        <w:pStyle w:val="Heading2"/>
        <w:rPr>
          <w:rFonts w:asciiTheme="minorHAnsi" w:hAnsiTheme="minorHAnsi" w:cstheme="minorHAnsi"/>
          <w:color w:val="auto"/>
          <w:sz w:val="22"/>
          <w:szCs w:val="22"/>
          <w:u w:val="single"/>
        </w:rPr>
      </w:pPr>
      <w:r w:rsidRPr="0001680B">
        <w:rPr>
          <w:rFonts w:asciiTheme="minorHAnsi" w:hAnsiTheme="minorHAnsi" w:cstheme="minorHAnsi"/>
          <w:color w:val="auto"/>
          <w:sz w:val="22"/>
          <w:szCs w:val="22"/>
          <w:u w:val="single"/>
        </w:rPr>
        <w:t>Outcome:</w:t>
      </w:r>
    </w:p>
    <w:p w:rsidR="00233E37" w:rsidRPr="00B56D17" w:rsidRDefault="00966240" w:rsidP="007D7CCD">
      <w:pPr>
        <w:pStyle w:val="ListParagraph"/>
        <w:numPr>
          <w:ilvl w:val="0"/>
          <w:numId w:val="8"/>
        </w:numPr>
      </w:pPr>
      <w:r>
        <w:t>Meeting summary</w:t>
      </w:r>
      <w:r w:rsidR="00233E37">
        <w:t xml:space="preserve"> was</w:t>
      </w:r>
      <w:r>
        <w:t xml:space="preserve"> approved</w:t>
      </w:r>
      <w:r w:rsidR="00271502">
        <w:t xml:space="preserve"> with</w:t>
      </w:r>
      <w:r w:rsidR="00C706C5">
        <w:t xml:space="preserve"> the</w:t>
      </w:r>
      <w:r w:rsidR="00271502">
        <w:t xml:space="preserve"> above amendments</w:t>
      </w:r>
      <w:r>
        <w:t>, with all members in agreement.</w:t>
      </w:r>
      <w:r w:rsidR="00B56D17">
        <w:br/>
      </w:r>
      <w:r w:rsidR="00B56D17">
        <w:br/>
      </w:r>
    </w:p>
    <w:p w:rsidR="00ED6496" w:rsidRPr="00B56D17" w:rsidRDefault="001A57CB" w:rsidP="00A66864">
      <w:pPr>
        <w:pStyle w:val="Heading1"/>
        <w:rPr>
          <w:rFonts w:asciiTheme="minorHAnsi" w:hAnsiTheme="minorHAnsi" w:cstheme="minorHAnsi"/>
          <w:sz w:val="26"/>
          <w:szCs w:val="26"/>
        </w:rPr>
      </w:pPr>
      <w:r w:rsidRPr="00B56D17">
        <w:rPr>
          <w:rFonts w:asciiTheme="minorHAnsi" w:hAnsiTheme="minorHAnsi" w:cstheme="minorHAnsi"/>
          <w:sz w:val="26"/>
          <w:szCs w:val="26"/>
        </w:rPr>
        <w:lastRenderedPageBreak/>
        <w:t xml:space="preserve">Committee Updates and </w:t>
      </w:r>
      <w:r w:rsidR="00675F1D" w:rsidRPr="00B56D17">
        <w:rPr>
          <w:rFonts w:asciiTheme="minorHAnsi" w:hAnsiTheme="minorHAnsi" w:cstheme="minorHAnsi"/>
          <w:sz w:val="26"/>
          <w:szCs w:val="26"/>
        </w:rPr>
        <w:t>Announcements:</w:t>
      </w:r>
    </w:p>
    <w:p w:rsidR="00966240" w:rsidRDefault="00966240" w:rsidP="00966240">
      <w:pPr>
        <w:pStyle w:val="ListParagraph"/>
        <w:numPr>
          <w:ilvl w:val="0"/>
          <w:numId w:val="8"/>
        </w:numPr>
      </w:pPr>
      <w:r>
        <w:t>Binders were produced for participants containing operating principles, maps, instream flow rules, meeting agendas, rosters,</w:t>
      </w:r>
      <w:r w:rsidR="00233E37">
        <w:t xml:space="preserve"> and related materials</w:t>
      </w:r>
      <w:r>
        <w:t xml:space="preserve">. </w:t>
      </w:r>
    </w:p>
    <w:p w:rsidR="00966240" w:rsidRDefault="00966240" w:rsidP="00966240">
      <w:pPr>
        <w:pStyle w:val="ListParagraph"/>
        <w:numPr>
          <w:ilvl w:val="0"/>
          <w:numId w:val="8"/>
        </w:numPr>
      </w:pPr>
      <w:r>
        <w:t xml:space="preserve">Ecology hosted </w:t>
      </w:r>
      <w:r w:rsidR="00233E37">
        <w:t xml:space="preserve">a </w:t>
      </w:r>
      <w:r>
        <w:t xml:space="preserve">WRIA 11 webinar </w:t>
      </w:r>
      <w:r w:rsidR="00233E37">
        <w:t xml:space="preserve">to share lessons learned. This is </w:t>
      </w:r>
      <w:r>
        <w:t xml:space="preserve">available online. </w:t>
      </w:r>
    </w:p>
    <w:p w:rsidR="00966240" w:rsidRDefault="00966240" w:rsidP="00966240">
      <w:pPr>
        <w:pStyle w:val="ListParagraph"/>
        <w:numPr>
          <w:ilvl w:val="0"/>
          <w:numId w:val="8"/>
        </w:numPr>
      </w:pPr>
      <w:r>
        <w:t>Upcoming webinars (tentative dates).</w:t>
      </w:r>
    </w:p>
    <w:p w:rsidR="00966240" w:rsidRDefault="00966240" w:rsidP="00A66864">
      <w:pPr>
        <w:pStyle w:val="ListParagraph"/>
        <w:numPr>
          <w:ilvl w:val="1"/>
          <w:numId w:val="8"/>
        </w:numPr>
      </w:pPr>
      <w:r>
        <w:t xml:space="preserve">May </w:t>
      </w:r>
      <w:r w:rsidR="00A66864">
        <w:t xml:space="preserve">30 – Streamflow Restoration Project Examples – Angela will send out a calendar invite. </w:t>
      </w:r>
    </w:p>
    <w:p w:rsidR="00966240" w:rsidRDefault="00966240" w:rsidP="00966240">
      <w:pPr>
        <w:pStyle w:val="ListParagraph"/>
        <w:numPr>
          <w:ilvl w:val="0"/>
          <w:numId w:val="8"/>
        </w:numPr>
      </w:pPr>
      <w:r>
        <w:t xml:space="preserve">WRIA 1 rule amendment preliminary draft language and rule </w:t>
      </w:r>
      <w:r w:rsidR="00233E37">
        <w:t xml:space="preserve">are </w:t>
      </w:r>
      <w:r>
        <w:t xml:space="preserve">open for public comment. </w:t>
      </w:r>
      <w:r w:rsidR="00DB2A8E">
        <w:t>Angela will check on whether the WRIA 1 rule workshops will be available as webinars.</w:t>
      </w:r>
    </w:p>
    <w:p w:rsidR="00966240" w:rsidRDefault="00966240" w:rsidP="00966240">
      <w:pPr>
        <w:pStyle w:val="ListParagraph"/>
        <w:numPr>
          <w:ilvl w:val="0"/>
          <w:numId w:val="8"/>
        </w:numPr>
      </w:pPr>
      <w:r>
        <w:t xml:space="preserve">Draft for final net ecological benefit guidance will be out </w:t>
      </w:r>
      <w:r w:rsidR="00A66864">
        <w:t xml:space="preserve">soon – Angela will send out information when it is available. </w:t>
      </w:r>
      <w:r w:rsidR="00233E37">
        <w:t xml:space="preserve"> </w:t>
      </w:r>
    </w:p>
    <w:p w:rsidR="007419B1" w:rsidRDefault="007419B1" w:rsidP="00966240">
      <w:pPr>
        <w:pStyle w:val="ListParagraph"/>
        <w:numPr>
          <w:ilvl w:val="0"/>
          <w:numId w:val="8"/>
        </w:numPr>
      </w:pPr>
      <w:r>
        <w:t xml:space="preserve">Ecology </w:t>
      </w:r>
      <w:r w:rsidR="00233E37">
        <w:t xml:space="preserve">has </w:t>
      </w:r>
      <w:r>
        <w:t xml:space="preserve">selected </w:t>
      </w:r>
      <w:r w:rsidR="00233E37">
        <w:t>HDR, subcontracting to Pacific Groundwater Group, as the technical consultant for WRIA 14</w:t>
      </w:r>
      <w:r>
        <w:t xml:space="preserve">. </w:t>
      </w:r>
      <w:r w:rsidR="00233E37">
        <w:t>Ecology hopes to have the contract signed by April 15</w:t>
      </w:r>
      <w:r w:rsidR="00233E37" w:rsidRPr="00233E37">
        <w:rPr>
          <w:vertAlign w:val="superscript"/>
        </w:rPr>
        <w:t>th</w:t>
      </w:r>
      <w:r w:rsidR="00233E37">
        <w:t xml:space="preserve">. </w:t>
      </w:r>
    </w:p>
    <w:p w:rsidR="007419B1" w:rsidRDefault="007419B1" w:rsidP="007419B1">
      <w:pPr>
        <w:pStyle w:val="ListParagraph"/>
        <w:numPr>
          <w:ilvl w:val="1"/>
          <w:numId w:val="8"/>
        </w:numPr>
      </w:pPr>
      <w:r>
        <w:t xml:space="preserve">Squaxin Island Tribe was concerned that the scope </w:t>
      </w:r>
      <w:r w:rsidR="00233E37">
        <w:t>of work</w:t>
      </w:r>
      <w:r>
        <w:t xml:space="preserve"> was too narrow. Concerns were </w:t>
      </w:r>
      <w:r w:rsidR="00233E37">
        <w:t>shared with Ecology</w:t>
      </w:r>
      <w:r>
        <w:t xml:space="preserve">. </w:t>
      </w:r>
    </w:p>
    <w:p w:rsidR="00DB2A8E" w:rsidRPr="007D7CCD" w:rsidRDefault="00DB2A8E" w:rsidP="007419B1">
      <w:pPr>
        <w:pStyle w:val="ListParagraph"/>
        <w:numPr>
          <w:ilvl w:val="1"/>
          <w:numId w:val="8"/>
        </w:numPr>
      </w:pPr>
      <w:r>
        <w:t>Angela will provide committee members with the contract scope of work.</w:t>
      </w:r>
    </w:p>
    <w:p w:rsidR="007D7CCD" w:rsidRPr="00B56D17" w:rsidRDefault="00E915C1" w:rsidP="00A66864">
      <w:pPr>
        <w:pStyle w:val="Heading1"/>
        <w:rPr>
          <w:rFonts w:asciiTheme="minorHAnsi" w:hAnsiTheme="minorHAnsi" w:cstheme="minorHAnsi"/>
          <w:sz w:val="26"/>
          <w:szCs w:val="26"/>
        </w:rPr>
      </w:pPr>
      <w:r w:rsidRPr="00B56D17">
        <w:rPr>
          <w:rFonts w:asciiTheme="minorHAnsi" w:hAnsiTheme="minorHAnsi" w:cstheme="minorHAnsi"/>
          <w:sz w:val="26"/>
          <w:szCs w:val="26"/>
        </w:rPr>
        <w:t>Local Planning</w:t>
      </w:r>
      <w:r w:rsidR="00A66864" w:rsidRPr="00B56D17">
        <w:rPr>
          <w:rFonts w:asciiTheme="minorHAnsi" w:hAnsiTheme="minorHAnsi" w:cstheme="minorHAnsi"/>
          <w:sz w:val="26"/>
          <w:szCs w:val="26"/>
        </w:rPr>
        <w:t xml:space="preserve"> Presentations</w:t>
      </w:r>
      <w:r w:rsidR="007D7CCD" w:rsidRPr="00B56D17">
        <w:rPr>
          <w:rFonts w:asciiTheme="minorHAnsi" w:hAnsiTheme="minorHAnsi" w:cstheme="minorHAnsi"/>
          <w:sz w:val="26"/>
          <w:szCs w:val="26"/>
        </w:rPr>
        <w:t>:</w:t>
      </w:r>
    </w:p>
    <w:p w:rsidR="007D7CCD" w:rsidRPr="0001680B" w:rsidRDefault="00ED6496" w:rsidP="00B56D17">
      <w:pPr>
        <w:pStyle w:val="Heading2"/>
        <w:rPr>
          <w:rFonts w:asciiTheme="minorHAnsi" w:hAnsiTheme="minorHAnsi" w:cstheme="minorHAnsi"/>
          <w:color w:val="auto"/>
          <w:sz w:val="22"/>
          <w:szCs w:val="22"/>
          <w:u w:val="single"/>
        </w:rPr>
      </w:pPr>
      <w:r w:rsidRPr="0001680B">
        <w:rPr>
          <w:rFonts w:asciiTheme="minorHAnsi" w:hAnsiTheme="minorHAnsi" w:cstheme="minorHAnsi"/>
          <w:color w:val="auto"/>
          <w:sz w:val="22"/>
          <w:szCs w:val="22"/>
          <w:u w:val="single"/>
        </w:rPr>
        <w:t>Discussion</w:t>
      </w:r>
      <w:r w:rsidR="00233E37" w:rsidRPr="0001680B">
        <w:rPr>
          <w:rFonts w:asciiTheme="minorHAnsi" w:hAnsiTheme="minorHAnsi" w:cstheme="minorHAnsi"/>
          <w:color w:val="auto"/>
          <w:sz w:val="22"/>
          <w:szCs w:val="22"/>
          <w:u w:val="single"/>
        </w:rPr>
        <w:t xml:space="preserve"> and Presentations</w:t>
      </w:r>
      <w:r w:rsidRPr="0001680B">
        <w:rPr>
          <w:rFonts w:asciiTheme="minorHAnsi" w:hAnsiTheme="minorHAnsi" w:cstheme="minorHAnsi"/>
          <w:color w:val="auto"/>
          <w:sz w:val="22"/>
          <w:szCs w:val="22"/>
          <w:u w:val="single"/>
        </w:rPr>
        <w:t>:</w:t>
      </w:r>
    </w:p>
    <w:p w:rsidR="00ED6496" w:rsidRDefault="00233E37" w:rsidP="007419B1">
      <w:pPr>
        <w:pStyle w:val="ListParagraph"/>
        <w:numPr>
          <w:ilvl w:val="0"/>
          <w:numId w:val="9"/>
        </w:numPr>
      </w:pPr>
      <w:r>
        <w:t xml:space="preserve">Thurston County, </w:t>
      </w:r>
      <w:r w:rsidR="007419B1">
        <w:t>Mason County</w:t>
      </w:r>
      <w:r>
        <w:t>,</w:t>
      </w:r>
      <w:r w:rsidR="007419B1">
        <w:t xml:space="preserve"> and City of Shelton </w:t>
      </w:r>
      <w:r>
        <w:t>d</w:t>
      </w:r>
      <w:r w:rsidR="007419B1">
        <w:t>iscuss</w:t>
      </w:r>
      <w:r>
        <w:t>ed</w:t>
      </w:r>
      <w:r w:rsidR="007419B1">
        <w:t xml:space="preserve"> their planning processes to inform decisions on growth projections and estimates for permit exempt wells. </w:t>
      </w:r>
      <w:r>
        <w:t>The goal</w:t>
      </w:r>
      <w:r w:rsidR="007419B1">
        <w:t xml:space="preserve"> </w:t>
      </w:r>
      <w:r>
        <w:t>was</w:t>
      </w:r>
      <w:r w:rsidR="007419B1">
        <w:t xml:space="preserve"> for</w:t>
      </w:r>
      <w:r>
        <w:t xml:space="preserve"> the</w:t>
      </w:r>
      <w:r w:rsidR="007419B1">
        <w:t xml:space="preserve"> committee to understand the roles of </w:t>
      </w:r>
      <w:r>
        <w:t>Counties</w:t>
      </w:r>
      <w:r w:rsidR="007419B1">
        <w:t xml:space="preserve"> and </w:t>
      </w:r>
      <w:r>
        <w:t xml:space="preserve">the </w:t>
      </w:r>
      <w:r w:rsidR="007419B1">
        <w:t>City in directing growth, how regulations work, and how they interact with this Committee.</w:t>
      </w:r>
    </w:p>
    <w:p w:rsidR="007419B1" w:rsidRDefault="007419B1" w:rsidP="007419B1">
      <w:pPr>
        <w:pStyle w:val="ListParagraph"/>
        <w:numPr>
          <w:ilvl w:val="0"/>
          <w:numId w:val="9"/>
        </w:numPr>
      </w:pPr>
      <w:r>
        <w:t>Allison Osterberg, Senior Planner, Thurston County: Thurston County Planning Process</w:t>
      </w:r>
    </w:p>
    <w:p w:rsidR="007419B1" w:rsidRDefault="009F111E" w:rsidP="008E6C81">
      <w:pPr>
        <w:pStyle w:val="ListParagraph"/>
        <w:numPr>
          <w:ilvl w:val="1"/>
          <w:numId w:val="9"/>
        </w:numPr>
      </w:pPr>
      <w:r>
        <w:t xml:space="preserve">The group discussed the implications of considering a </w:t>
      </w:r>
      <w:r w:rsidR="006C6E36">
        <w:t>range of growth projections for planning</w:t>
      </w:r>
      <w:r>
        <w:t xml:space="preserve"> and expressed a desire to have estimations of where </w:t>
      </w:r>
      <w:r w:rsidR="005175FA">
        <w:t xml:space="preserve">the majority of </w:t>
      </w:r>
      <w:r>
        <w:t>growth might oc</w:t>
      </w:r>
      <w:r w:rsidR="006C6E36">
        <w:t xml:space="preserve">cur. </w:t>
      </w:r>
    </w:p>
    <w:p w:rsidR="006C6E36" w:rsidRDefault="005175FA" w:rsidP="006C6E36">
      <w:pPr>
        <w:pStyle w:val="ListParagraph"/>
        <w:numPr>
          <w:ilvl w:val="2"/>
          <w:numId w:val="9"/>
        </w:numPr>
      </w:pPr>
      <w:r>
        <w:t>Thurston County generally uses a mid-</w:t>
      </w:r>
      <w:r w:rsidR="006A1307">
        <w:t>range</w:t>
      </w:r>
      <w:r>
        <w:t xml:space="preserve"> growth project, between the maximum and minimum.</w:t>
      </w:r>
      <w:r w:rsidR="00896ABF">
        <w:t xml:space="preserve"> Members would also like to have a “worst case” estimate to set a high estimate of possible future growth.</w:t>
      </w:r>
    </w:p>
    <w:p w:rsidR="0045403A" w:rsidRDefault="006A1307" w:rsidP="0045403A">
      <w:pPr>
        <w:pStyle w:val="ListParagraph"/>
        <w:numPr>
          <w:ilvl w:val="2"/>
          <w:numId w:val="9"/>
        </w:numPr>
      </w:pPr>
      <w:r>
        <w:t>It is</w:t>
      </w:r>
      <w:r w:rsidR="006C6E36">
        <w:t xml:space="preserve"> </w:t>
      </w:r>
      <w:r w:rsidR="005175FA">
        <w:t xml:space="preserve">most </w:t>
      </w:r>
      <w:r w:rsidR="006C6E36">
        <w:t>useful to look how much g</w:t>
      </w:r>
      <w:r w:rsidR="005175FA">
        <w:t xml:space="preserve">rowth will occur in areas where </w:t>
      </w:r>
      <w:r w:rsidR="006C6E36">
        <w:t>permit exempt wells</w:t>
      </w:r>
      <w:r w:rsidR="005175FA">
        <w:t xml:space="preserve"> would be needed</w:t>
      </w:r>
      <w:r w:rsidR="006C6E36">
        <w:t>.</w:t>
      </w:r>
      <w:r w:rsidR="00E83316">
        <w:t xml:space="preserve"> </w:t>
      </w:r>
      <w:r w:rsidR="005175FA">
        <w:t>Growth projections are important, but it is more important to know if growth will occur in locations with municipal water supplies or in rural locations.</w:t>
      </w:r>
    </w:p>
    <w:p w:rsidR="00896ABF" w:rsidRDefault="00896ABF" w:rsidP="00896ABF">
      <w:pPr>
        <w:pStyle w:val="ListParagraph"/>
        <w:numPr>
          <w:ilvl w:val="1"/>
          <w:numId w:val="9"/>
        </w:numPr>
      </w:pPr>
      <w:r>
        <w:t xml:space="preserve">The group discussed certificates of water availability, the duty to serve and when a large system might allow an exempt well within its service area, usually when a hookup isn’t feasible. </w:t>
      </w:r>
    </w:p>
    <w:p w:rsidR="0045403A" w:rsidRDefault="006A1307" w:rsidP="0045403A">
      <w:pPr>
        <w:pStyle w:val="ListParagraph"/>
        <w:numPr>
          <w:ilvl w:val="1"/>
          <w:numId w:val="9"/>
        </w:numPr>
      </w:pPr>
      <w:r>
        <w:t>The group agreed to discuss p</w:t>
      </w:r>
      <w:r w:rsidR="0045403A">
        <w:t>ermit exempt wells in UGA</w:t>
      </w:r>
      <w:r>
        <w:t xml:space="preserve"> areas during future meetings.</w:t>
      </w:r>
    </w:p>
    <w:p w:rsidR="0045403A" w:rsidRDefault="0045403A" w:rsidP="0045403A">
      <w:pPr>
        <w:pStyle w:val="ListParagraph"/>
        <w:numPr>
          <w:ilvl w:val="0"/>
          <w:numId w:val="9"/>
        </w:numPr>
      </w:pPr>
      <w:r>
        <w:t xml:space="preserve">Jason </w:t>
      </w:r>
      <w:r w:rsidR="006A1307">
        <w:t>Dose</w:t>
      </w:r>
      <w:r>
        <w:t>, City of Shelton</w:t>
      </w:r>
    </w:p>
    <w:p w:rsidR="006A1307" w:rsidRDefault="006A1307" w:rsidP="006A1307">
      <w:pPr>
        <w:pStyle w:val="ListParagraph"/>
        <w:numPr>
          <w:ilvl w:val="1"/>
          <w:numId w:val="9"/>
        </w:numPr>
      </w:pPr>
      <w:r>
        <w:t xml:space="preserve">Discussed the </w:t>
      </w:r>
      <w:r w:rsidR="00D578BF">
        <w:t xml:space="preserve">drivers of development and the </w:t>
      </w:r>
      <w:r>
        <w:t>difficulties</w:t>
      </w:r>
      <w:r w:rsidR="00E91F6D">
        <w:t xml:space="preserve"> in predicting where development will </w:t>
      </w:r>
      <w:r>
        <w:t>occur</w:t>
      </w:r>
      <w:r w:rsidR="00E91F6D">
        <w:t xml:space="preserve">. </w:t>
      </w:r>
    </w:p>
    <w:p w:rsidR="00766E94" w:rsidRDefault="006A1307" w:rsidP="006A1307">
      <w:pPr>
        <w:pStyle w:val="ListParagraph"/>
        <w:numPr>
          <w:ilvl w:val="1"/>
          <w:numId w:val="9"/>
        </w:numPr>
      </w:pPr>
      <w:r>
        <w:t>The committee agreed that</w:t>
      </w:r>
      <w:r w:rsidR="00A66864">
        <w:t xml:space="preserve"> they should consider</w:t>
      </w:r>
      <w:r w:rsidR="00766E94">
        <w:t xml:space="preserve"> increase</w:t>
      </w:r>
      <w:r>
        <w:t>d</w:t>
      </w:r>
      <w:r w:rsidR="00766E94">
        <w:t xml:space="preserve"> clarity o</w:t>
      </w:r>
      <w:r>
        <w:t xml:space="preserve">n </w:t>
      </w:r>
      <w:r w:rsidR="00273850">
        <w:t>whether the focus should be on</w:t>
      </w:r>
      <w:r>
        <w:t xml:space="preserve"> wells vs. connections to</w:t>
      </w:r>
      <w:r w:rsidR="00766E94">
        <w:t xml:space="preserve"> well</w:t>
      </w:r>
      <w:r>
        <w:t>s.</w:t>
      </w:r>
    </w:p>
    <w:p w:rsidR="00766E94" w:rsidRDefault="006A1307" w:rsidP="00766E94">
      <w:pPr>
        <w:pStyle w:val="ListParagraph"/>
        <w:numPr>
          <w:ilvl w:val="2"/>
          <w:numId w:val="9"/>
        </w:numPr>
      </w:pPr>
      <w:r>
        <w:t xml:space="preserve">Similarly, concerns related to water loss from </w:t>
      </w:r>
      <w:r w:rsidR="00766E94">
        <w:t xml:space="preserve">DSL (distribution service leakage) </w:t>
      </w:r>
      <w:r>
        <w:t>were raised</w:t>
      </w:r>
      <w:r w:rsidR="00766E94">
        <w:t>.</w:t>
      </w:r>
    </w:p>
    <w:p w:rsidR="00112D6B" w:rsidRDefault="006A1307" w:rsidP="00766E94">
      <w:pPr>
        <w:pStyle w:val="ListParagraph"/>
        <w:numPr>
          <w:ilvl w:val="2"/>
          <w:numId w:val="9"/>
        </w:numPr>
      </w:pPr>
      <w:r>
        <w:t>The group stated they would like</w:t>
      </w:r>
      <w:r w:rsidR="00112D6B">
        <w:t xml:space="preserve"> to hear from the county </w:t>
      </w:r>
      <w:r>
        <w:t>about</w:t>
      </w:r>
      <w:r w:rsidR="00112D6B">
        <w:t xml:space="preserve"> how they implement decisions between wells vs. connections. </w:t>
      </w:r>
    </w:p>
    <w:p w:rsidR="00D578BF" w:rsidRDefault="00D578BF" w:rsidP="00D578BF">
      <w:pPr>
        <w:pStyle w:val="ListParagraph"/>
        <w:numPr>
          <w:ilvl w:val="1"/>
          <w:numId w:val="9"/>
        </w:numPr>
      </w:pPr>
      <w:r>
        <w:t xml:space="preserve">Exempt wells can go into the UGA if they are beyond the distance when hook-ups are required. </w:t>
      </w:r>
    </w:p>
    <w:p w:rsidR="00D578BF" w:rsidRDefault="00D578BF" w:rsidP="00D578BF">
      <w:pPr>
        <w:pStyle w:val="ListParagraph"/>
        <w:numPr>
          <w:ilvl w:val="1"/>
          <w:numId w:val="9"/>
        </w:numPr>
      </w:pPr>
      <w:r>
        <w:t>The urban setting provides opportunities for multi-purpose habitat projects.</w:t>
      </w:r>
    </w:p>
    <w:p w:rsidR="00AC5B93" w:rsidRDefault="00AC5B93" w:rsidP="00AC5B93">
      <w:pPr>
        <w:pStyle w:val="ListParagraph"/>
        <w:numPr>
          <w:ilvl w:val="0"/>
          <w:numId w:val="9"/>
        </w:numPr>
      </w:pPr>
      <w:r>
        <w:t>Mason County</w:t>
      </w:r>
    </w:p>
    <w:p w:rsidR="00AC5B93" w:rsidRDefault="006A1307" w:rsidP="00AC5B93">
      <w:pPr>
        <w:pStyle w:val="ListParagraph"/>
        <w:numPr>
          <w:ilvl w:val="1"/>
          <w:numId w:val="9"/>
        </w:numPr>
      </w:pPr>
      <w:r>
        <w:lastRenderedPageBreak/>
        <w:t>Discussed the importance of</w:t>
      </w:r>
      <w:r w:rsidR="00AC5B93">
        <w:t xml:space="preserve"> water features on the north end of WRIA 14 near Allyn.</w:t>
      </w:r>
    </w:p>
    <w:p w:rsidR="00AC5B93" w:rsidRDefault="00AC5B93" w:rsidP="00AC5B93">
      <w:pPr>
        <w:pStyle w:val="ListParagraph"/>
        <w:numPr>
          <w:ilvl w:val="1"/>
          <w:numId w:val="9"/>
        </w:numPr>
      </w:pPr>
      <w:r>
        <w:t xml:space="preserve">Growth projection numbers </w:t>
      </w:r>
      <w:r w:rsidR="006A1307">
        <w:t>were provided to the group:</w:t>
      </w:r>
    </w:p>
    <w:p w:rsidR="009966A6" w:rsidRDefault="009966A6" w:rsidP="009966A6">
      <w:pPr>
        <w:pStyle w:val="ListParagraph"/>
        <w:numPr>
          <w:ilvl w:val="2"/>
          <w:numId w:val="9"/>
        </w:numPr>
      </w:pPr>
      <w:r>
        <w:t xml:space="preserve">2036 projection: Expecting a 34% </w:t>
      </w:r>
      <w:r w:rsidR="006A1307">
        <w:t xml:space="preserve">total </w:t>
      </w:r>
      <w:r>
        <w:t xml:space="preserve">increase to 83,800. Rural </w:t>
      </w:r>
      <w:r w:rsidR="006A1307">
        <w:t>parts of the county are</w:t>
      </w:r>
      <w:r>
        <w:t xml:space="preserve"> expecting 22% growth to 55,000.</w:t>
      </w:r>
    </w:p>
    <w:p w:rsidR="00816413" w:rsidRPr="00816413" w:rsidRDefault="006A1307" w:rsidP="00B56D17">
      <w:pPr>
        <w:pStyle w:val="ListParagraph"/>
        <w:numPr>
          <w:ilvl w:val="1"/>
          <w:numId w:val="9"/>
        </w:numPr>
      </w:pPr>
      <w:r>
        <w:t xml:space="preserve">Committee members </w:t>
      </w:r>
      <w:r w:rsidR="00816413">
        <w:t>emphasized the importance</w:t>
      </w:r>
      <w:r w:rsidR="009966A6">
        <w:t xml:space="preserve"> </w:t>
      </w:r>
      <w:r w:rsidR="00816413">
        <w:t xml:space="preserve">of </w:t>
      </w:r>
      <w:r w:rsidR="009966A6">
        <w:t xml:space="preserve">regional pressure from growth </w:t>
      </w:r>
      <w:r w:rsidR="00816413">
        <w:t>in</w:t>
      </w:r>
      <w:r w:rsidR="009966A6">
        <w:t xml:space="preserve"> Seattle and </w:t>
      </w:r>
      <w:r w:rsidR="00816413">
        <w:t>its effects</w:t>
      </w:r>
      <w:r w:rsidR="009966A6">
        <w:t xml:space="preserve"> on Mason County. </w:t>
      </w:r>
      <w:r w:rsidR="00273850">
        <w:t>Some members suggested</w:t>
      </w:r>
      <w:r w:rsidR="00816413">
        <w:t xml:space="preserve"> the committee consider maximum growth projections, </w:t>
      </w:r>
      <w:r w:rsidR="009966A6">
        <w:t>meaning that</w:t>
      </w:r>
      <w:r w:rsidR="00271502">
        <w:t xml:space="preserve"> at most,</w:t>
      </w:r>
      <w:r w:rsidR="009966A6">
        <w:t xml:space="preserve"> </w:t>
      </w:r>
      <w:r w:rsidR="00816413">
        <w:t>WRIA 14 will over mitigate and have conservative</w:t>
      </w:r>
      <w:r w:rsidR="009966A6">
        <w:t xml:space="preserve"> water use. </w:t>
      </w:r>
    </w:p>
    <w:p w:rsidR="00675F1D" w:rsidRPr="00B56D17" w:rsidRDefault="00E915C1" w:rsidP="00A66864">
      <w:pPr>
        <w:pStyle w:val="Heading1"/>
        <w:rPr>
          <w:rFonts w:asciiTheme="minorHAnsi" w:hAnsiTheme="minorHAnsi" w:cstheme="minorHAnsi"/>
          <w:sz w:val="26"/>
          <w:szCs w:val="26"/>
        </w:rPr>
      </w:pPr>
      <w:r w:rsidRPr="00B56D17">
        <w:rPr>
          <w:rFonts w:asciiTheme="minorHAnsi" w:hAnsiTheme="minorHAnsi" w:cstheme="minorHAnsi"/>
          <w:sz w:val="26"/>
          <w:szCs w:val="26"/>
        </w:rPr>
        <w:t>Technical Workgroup Report</w:t>
      </w:r>
      <w:r w:rsidR="00675F1D" w:rsidRPr="00B56D17">
        <w:rPr>
          <w:rFonts w:asciiTheme="minorHAnsi" w:hAnsiTheme="minorHAnsi" w:cstheme="minorHAnsi"/>
          <w:sz w:val="26"/>
          <w:szCs w:val="26"/>
        </w:rPr>
        <w:t>:</w:t>
      </w:r>
    </w:p>
    <w:p w:rsidR="00ED6496" w:rsidRPr="0001680B" w:rsidRDefault="00ED6496" w:rsidP="00255592">
      <w:pPr>
        <w:pStyle w:val="Heading2"/>
        <w:rPr>
          <w:rFonts w:asciiTheme="minorHAnsi" w:hAnsiTheme="minorHAnsi" w:cstheme="minorHAnsi"/>
          <w:color w:val="auto"/>
          <w:sz w:val="22"/>
          <w:szCs w:val="22"/>
          <w:u w:val="single"/>
        </w:rPr>
      </w:pPr>
      <w:r w:rsidRPr="0001680B">
        <w:rPr>
          <w:rFonts w:asciiTheme="minorHAnsi" w:hAnsiTheme="minorHAnsi" w:cstheme="minorHAnsi"/>
          <w:color w:val="auto"/>
          <w:sz w:val="22"/>
          <w:szCs w:val="22"/>
          <w:u w:val="single"/>
        </w:rPr>
        <w:t>Discussion:</w:t>
      </w:r>
    </w:p>
    <w:p w:rsidR="00ED6496" w:rsidRDefault="00273850" w:rsidP="00657A9D">
      <w:pPr>
        <w:pStyle w:val="ListParagraph"/>
        <w:numPr>
          <w:ilvl w:val="0"/>
          <w:numId w:val="11"/>
        </w:numPr>
      </w:pPr>
      <w:r>
        <w:t xml:space="preserve">Questions </w:t>
      </w:r>
      <w:r w:rsidR="00BE4434">
        <w:t>were raised about how the Technical Workgroup will interact with the larger committee</w:t>
      </w:r>
      <w:r w:rsidR="00657A9D">
        <w:t>.</w:t>
      </w:r>
    </w:p>
    <w:p w:rsidR="00657A9D" w:rsidRDefault="00BE4434" w:rsidP="00657A9D">
      <w:pPr>
        <w:pStyle w:val="ListParagraph"/>
        <w:numPr>
          <w:ilvl w:val="0"/>
          <w:numId w:val="11"/>
        </w:numPr>
      </w:pPr>
      <w:r>
        <w:t xml:space="preserve">The Technical Workgroup is the only workgroup for now, but new </w:t>
      </w:r>
      <w:r w:rsidR="00271502">
        <w:t>workgroups</w:t>
      </w:r>
      <w:r>
        <w:t xml:space="preserve"> can be created</w:t>
      </w:r>
      <w:r w:rsidR="00657A9D">
        <w:t xml:space="preserve">. Any committee member can join the committee at any time. Additionally, </w:t>
      </w:r>
      <w:r>
        <w:t>the committee can consult outside technical experts</w:t>
      </w:r>
      <w:r w:rsidR="00657A9D">
        <w:t>.</w:t>
      </w:r>
    </w:p>
    <w:p w:rsidR="00657A9D" w:rsidRDefault="00BE4434" w:rsidP="00BE4434">
      <w:pPr>
        <w:pStyle w:val="ListParagraph"/>
        <w:numPr>
          <w:ilvl w:val="0"/>
          <w:numId w:val="11"/>
        </w:numPr>
      </w:pPr>
      <w:r>
        <w:t>Ecology stated that the in</w:t>
      </w:r>
      <w:r w:rsidR="00657A9D">
        <w:t xml:space="preserve">itial focus of </w:t>
      </w:r>
      <w:r>
        <w:t>the technical consultants</w:t>
      </w:r>
      <w:r w:rsidR="00657A9D">
        <w:t xml:space="preserve"> will be to address the data gaps</w:t>
      </w:r>
      <w:r w:rsidR="00A66864">
        <w:t xml:space="preserve">, subbasin delineation, and growth projections. </w:t>
      </w:r>
      <w:r w:rsidR="00657A9D">
        <w:t>.</w:t>
      </w:r>
    </w:p>
    <w:p w:rsidR="00657A9D" w:rsidRDefault="00BE4434" w:rsidP="00657A9D">
      <w:pPr>
        <w:pStyle w:val="ListParagraph"/>
        <w:numPr>
          <w:ilvl w:val="1"/>
          <w:numId w:val="11"/>
        </w:numPr>
      </w:pPr>
      <w:r>
        <w:t>The Technical W</w:t>
      </w:r>
      <w:r w:rsidR="00657A9D">
        <w:t xml:space="preserve">orkgroup will provide feedback to the consultants, but only after the </w:t>
      </w:r>
      <w:r>
        <w:t>Workgroup</w:t>
      </w:r>
      <w:r w:rsidR="00657A9D">
        <w:t xml:space="preserve"> consults with the full committee.</w:t>
      </w:r>
    </w:p>
    <w:p w:rsidR="007E690A" w:rsidRDefault="00271502" w:rsidP="00A66864">
      <w:pPr>
        <w:pStyle w:val="ListParagraph"/>
        <w:numPr>
          <w:ilvl w:val="0"/>
          <w:numId w:val="11"/>
        </w:numPr>
      </w:pPr>
      <w:r>
        <w:t>The committee discussed examples from the Nisqually Watershed</w:t>
      </w:r>
      <w:r w:rsidR="00000947">
        <w:t xml:space="preserve"> Planning Unit</w:t>
      </w:r>
      <w:r w:rsidR="007E690A">
        <w:t>.</w:t>
      </w:r>
    </w:p>
    <w:p w:rsidR="007E690A" w:rsidRDefault="00425BFC" w:rsidP="00A66864">
      <w:pPr>
        <w:pStyle w:val="ListParagraph"/>
        <w:numPr>
          <w:ilvl w:val="1"/>
          <w:numId w:val="11"/>
        </w:numPr>
      </w:pPr>
      <w:r>
        <w:t>Committee member asked why there</w:t>
      </w:r>
      <w:r w:rsidR="007E690A">
        <w:t xml:space="preserve"> were three different consumptive us</w:t>
      </w:r>
      <w:r w:rsidR="00000947">
        <w:t>e calculations created when the Nisqually Planning Unit</w:t>
      </w:r>
      <w:r w:rsidR="007E690A">
        <w:t xml:space="preserve"> ultimately </w:t>
      </w:r>
      <w:r>
        <w:t>used</w:t>
      </w:r>
      <w:r w:rsidR="007E690A">
        <w:t xml:space="preserve"> Ecology’s </w:t>
      </w:r>
      <w:r w:rsidR="00000947">
        <w:t>Recommendations for Water Use Estimates</w:t>
      </w:r>
      <w:r w:rsidR="007E690A">
        <w:t>.</w:t>
      </w:r>
    </w:p>
    <w:p w:rsidR="007E690A" w:rsidRDefault="00271502" w:rsidP="00A66864">
      <w:pPr>
        <w:pStyle w:val="ListParagraph"/>
        <w:numPr>
          <w:ilvl w:val="2"/>
          <w:numId w:val="11"/>
        </w:numPr>
      </w:pPr>
      <w:r>
        <w:t>The first calculation</w:t>
      </w:r>
      <w:r w:rsidR="007E690A">
        <w:t xml:space="preserve"> used Thurston PUD data </w:t>
      </w:r>
      <w:r>
        <w:t>of</w:t>
      </w:r>
      <w:r w:rsidR="007E690A">
        <w:t xml:space="preserve"> </w:t>
      </w:r>
      <w:r>
        <w:t>observed</w:t>
      </w:r>
      <w:r w:rsidR="007E690A">
        <w:t xml:space="preserve"> water use </w:t>
      </w:r>
      <w:r>
        <w:t>in the watershed</w:t>
      </w:r>
      <w:r w:rsidR="007E690A">
        <w:t>.</w:t>
      </w:r>
    </w:p>
    <w:p w:rsidR="007E690A" w:rsidRDefault="00271502" w:rsidP="00A66864">
      <w:pPr>
        <w:pStyle w:val="ListParagraph"/>
        <w:numPr>
          <w:ilvl w:val="2"/>
          <w:numId w:val="11"/>
        </w:numPr>
      </w:pPr>
      <w:r>
        <w:t>The second</w:t>
      </w:r>
      <w:r w:rsidR="00AD4CEB">
        <w:t xml:space="preserve"> calculation</w:t>
      </w:r>
      <w:r w:rsidR="007E690A">
        <w:t xml:space="preserve"> looked at the legal right (if </w:t>
      </w:r>
      <w:r w:rsidR="00AD4CEB">
        <w:t>everyone</w:t>
      </w:r>
      <w:r w:rsidR="007E690A">
        <w:t xml:space="preserve"> used the full 3,000 gallons per day). This </w:t>
      </w:r>
      <w:r>
        <w:t>was an</w:t>
      </w:r>
      <w:r w:rsidR="007E690A">
        <w:t xml:space="preserve"> unrealistic</w:t>
      </w:r>
      <w:r>
        <w:t xml:space="preserve"> amount of use</w:t>
      </w:r>
      <w:r w:rsidR="007E690A">
        <w:t>, but the Nisqually tribe was interested in this because they wanted the maximum benefit for salmon.</w:t>
      </w:r>
    </w:p>
    <w:p w:rsidR="007E690A" w:rsidRDefault="007E690A" w:rsidP="00A66864">
      <w:pPr>
        <w:pStyle w:val="ListParagraph"/>
        <w:numPr>
          <w:ilvl w:val="2"/>
          <w:numId w:val="11"/>
        </w:numPr>
      </w:pPr>
      <w:r>
        <w:t>However</w:t>
      </w:r>
      <w:r w:rsidR="00000947">
        <w:t>, the Planning Unit used Ecology’s</w:t>
      </w:r>
      <w:r>
        <w:t xml:space="preserve"> methodology which was somewhere in the middle</w:t>
      </w:r>
      <w:r w:rsidR="00AD4CEB">
        <w:t xml:space="preserve"> of</w:t>
      </w:r>
      <w:r w:rsidR="00271502">
        <w:t xml:space="preserve"> first</w:t>
      </w:r>
      <w:r w:rsidR="00AD4CEB">
        <w:t xml:space="preserve"> the two calculations</w:t>
      </w:r>
      <w:r w:rsidR="00000947">
        <w:t xml:space="preserve"> for consistency with NEB </w:t>
      </w:r>
      <w:r w:rsidR="00730D9B">
        <w:t>determination</w:t>
      </w:r>
      <w:r>
        <w:t>.</w:t>
      </w:r>
    </w:p>
    <w:p w:rsidR="00680A82" w:rsidRDefault="00271502" w:rsidP="00A66864">
      <w:pPr>
        <w:pStyle w:val="ListParagraph"/>
        <w:numPr>
          <w:ilvl w:val="0"/>
          <w:numId w:val="11"/>
        </w:numPr>
      </w:pPr>
      <w:r>
        <w:t>In WRIA 14, the committee</w:t>
      </w:r>
      <w:r w:rsidR="00A946E7">
        <w:t xml:space="preserve"> is not required to </w:t>
      </w:r>
      <w:r w:rsidR="00FD5B4B">
        <w:t xml:space="preserve">use </w:t>
      </w:r>
      <w:r w:rsidR="00000947">
        <w:t>Ecology’s Recommendations for Water Use Estimates</w:t>
      </w:r>
      <w:r w:rsidR="00A946E7">
        <w:t xml:space="preserve">, and </w:t>
      </w:r>
      <w:r w:rsidR="00AD4CEB">
        <w:t>is</w:t>
      </w:r>
      <w:r w:rsidR="00A946E7">
        <w:t xml:space="preserve"> able to use different calculations, but </w:t>
      </w:r>
      <w:r w:rsidR="00AD4CEB">
        <w:t xml:space="preserve">a strong justification is needed </w:t>
      </w:r>
      <w:r w:rsidR="00A946E7">
        <w:t xml:space="preserve">to ensure that </w:t>
      </w:r>
      <w:r w:rsidR="00AD4CEB">
        <w:t>a different calculation is</w:t>
      </w:r>
      <w:r w:rsidR="00A946E7">
        <w:t xml:space="preserve"> consistent with Ecology’s Net Ecological Benefit determi</w:t>
      </w:r>
      <w:r w:rsidR="00680A82">
        <w:t>nation.</w:t>
      </w:r>
    </w:p>
    <w:p w:rsidR="00B2504C" w:rsidRDefault="00680A82" w:rsidP="00A66864">
      <w:pPr>
        <w:pStyle w:val="ListParagraph"/>
        <w:numPr>
          <w:ilvl w:val="1"/>
          <w:numId w:val="11"/>
        </w:numPr>
      </w:pPr>
      <w:r>
        <w:t>Committee members w</w:t>
      </w:r>
      <w:r w:rsidR="00B2504C">
        <w:t>ould like to explore a tiered approach to identify where there will be higher and lower rates</w:t>
      </w:r>
      <w:r>
        <w:t xml:space="preserve"> of consumption</w:t>
      </w:r>
      <w:r w:rsidR="00B2504C">
        <w:t xml:space="preserve">. </w:t>
      </w:r>
    </w:p>
    <w:p w:rsidR="00273850" w:rsidRDefault="00273850" w:rsidP="00000947">
      <w:pPr>
        <w:pStyle w:val="ListParagraph"/>
        <w:numPr>
          <w:ilvl w:val="0"/>
          <w:numId w:val="11"/>
        </w:numPr>
      </w:pPr>
      <w:r>
        <w:t>Committee members stated that in person meetings, when possible, were much more produc</w:t>
      </w:r>
      <w:r w:rsidR="00000947">
        <w:t>tive than those done with WebEx – Angela will try to schedule an in-person meeting for the next Workgroup meeting.</w:t>
      </w:r>
    </w:p>
    <w:p w:rsidR="00F64691" w:rsidRDefault="00F64691" w:rsidP="00F64691">
      <w:pPr>
        <w:pStyle w:val="ListParagraph"/>
        <w:numPr>
          <w:ilvl w:val="0"/>
          <w:numId w:val="11"/>
        </w:numPr>
      </w:pPr>
      <w:r>
        <w:t>Sub-basins</w:t>
      </w:r>
    </w:p>
    <w:p w:rsidR="00F64691" w:rsidRDefault="00F64691" w:rsidP="00F64691">
      <w:pPr>
        <w:pStyle w:val="ListParagraph"/>
        <w:numPr>
          <w:ilvl w:val="1"/>
          <w:numId w:val="11"/>
        </w:numPr>
      </w:pPr>
      <w:r>
        <w:t xml:space="preserve">The committee needs to delineate sub-basins to </w:t>
      </w:r>
      <w:r w:rsidR="001E4EB7">
        <w:t>determine</w:t>
      </w:r>
      <w:r>
        <w:t xml:space="preserve"> whether offset projects are in-time and in</w:t>
      </w:r>
      <w:r w:rsidR="001E4EB7">
        <w:t>-place</w:t>
      </w:r>
      <w:r>
        <w:t xml:space="preserve">. </w:t>
      </w:r>
    </w:p>
    <w:p w:rsidR="00F64691" w:rsidRDefault="00F0481E" w:rsidP="00F64691">
      <w:pPr>
        <w:pStyle w:val="ListParagraph"/>
        <w:numPr>
          <w:ilvl w:val="1"/>
          <w:numId w:val="11"/>
        </w:numPr>
      </w:pPr>
      <w:r>
        <w:t xml:space="preserve">Committee will need to make sub-basin determination within the next few months. </w:t>
      </w:r>
    </w:p>
    <w:p w:rsidR="00F0481E" w:rsidRDefault="00F0481E" w:rsidP="00F0481E">
      <w:pPr>
        <w:pStyle w:val="ListParagraph"/>
        <w:numPr>
          <w:ilvl w:val="2"/>
          <w:numId w:val="11"/>
        </w:numPr>
      </w:pPr>
      <w:r>
        <w:t xml:space="preserve">Sub-basins </w:t>
      </w:r>
      <w:r w:rsidR="001E4EB7">
        <w:t>can</w:t>
      </w:r>
      <w:r>
        <w:t xml:space="preserve"> be adjusted in the final plan, but a decision needs to be made so that </w:t>
      </w:r>
      <w:r w:rsidR="001E4EB7">
        <w:t>the process can be moved forward</w:t>
      </w:r>
      <w:r>
        <w:t xml:space="preserve">. </w:t>
      </w:r>
    </w:p>
    <w:p w:rsidR="00273850" w:rsidRDefault="001E4EB7" w:rsidP="006D6E45">
      <w:pPr>
        <w:pStyle w:val="ListParagraph"/>
        <w:numPr>
          <w:ilvl w:val="1"/>
          <w:numId w:val="11"/>
        </w:numPr>
      </w:pPr>
      <w:r>
        <w:t xml:space="preserve">The committee </w:t>
      </w:r>
      <w:r w:rsidR="006D6E45">
        <w:t>suggested addressing other data such as:</w:t>
      </w:r>
    </w:p>
    <w:p w:rsidR="009F6482" w:rsidRDefault="00273850" w:rsidP="006D6E45">
      <w:pPr>
        <w:pStyle w:val="ListParagraph"/>
        <w:numPr>
          <w:ilvl w:val="2"/>
          <w:numId w:val="11"/>
        </w:numPr>
      </w:pPr>
      <w:r>
        <w:t>Sp</w:t>
      </w:r>
      <w:r w:rsidR="009F6482">
        <w:t xml:space="preserve">ecific hydrogeological analyses that </w:t>
      </w:r>
      <w:r w:rsidR="001E4EB7">
        <w:t xml:space="preserve">are </w:t>
      </w:r>
      <w:r w:rsidR="009F6482">
        <w:t>part of development projects</w:t>
      </w:r>
      <w:r>
        <w:t>;</w:t>
      </w:r>
    </w:p>
    <w:p w:rsidR="00B56D17" w:rsidRDefault="00B56D17" w:rsidP="006D6E45">
      <w:pPr>
        <w:pStyle w:val="ListParagraph"/>
        <w:numPr>
          <w:ilvl w:val="2"/>
          <w:numId w:val="11"/>
        </w:numPr>
      </w:pPr>
      <w:r>
        <w:t>UGA</w:t>
      </w:r>
    </w:p>
    <w:p w:rsidR="00B56D17" w:rsidRDefault="00B56D17" w:rsidP="006D6E45">
      <w:pPr>
        <w:pStyle w:val="ListParagraph"/>
        <w:numPr>
          <w:ilvl w:val="2"/>
          <w:numId w:val="11"/>
        </w:numPr>
      </w:pPr>
      <w:r>
        <w:t>Group A/B water systems</w:t>
      </w:r>
    </w:p>
    <w:p w:rsidR="009F6482" w:rsidRDefault="009F6482" w:rsidP="00B56D17">
      <w:pPr>
        <w:pStyle w:val="ListParagraph"/>
        <w:numPr>
          <w:ilvl w:val="2"/>
          <w:numId w:val="11"/>
        </w:numPr>
      </w:pPr>
      <w:r>
        <w:lastRenderedPageBreak/>
        <w:t>Control points in the basin and where those are located</w:t>
      </w:r>
      <w:r w:rsidR="00273850">
        <w:t>; and</w:t>
      </w:r>
    </w:p>
    <w:p w:rsidR="00250A6B" w:rsidRDefault="00250A6B" w:rsidP="006D6E45">
      <w:pPr>
        <w:pStyle w:val="ListParagraph"/>
        <w:numPr>
          <w:ilvl w:val="2"/>
          <w:numId w:val="11"/>
        </w:numPr>
      </w:pPr>
      <w:r>
        <w:t>GIS layer of where we expect future permit exempt wells to occur.</w:t>
      </w:r>
    </w:p>
    <w:p w:rsidR="000E5F71" w:rsidRDefault="00F43C32" w:rsidP="000E5F71">
      <w:pPr>
        <w:pStyle w:val="ListParagraph"/>
        <w:numPr>
          <w:ilvl w:val="1"/>
          <w:numId w:val="11"/>
        </w:numPr>
      </w:pPr>
      <w:r>
        <w:t>It was recommended that the committee use the</w:t>
      </w:r>
      <w:r w:rsidR="006D6E45">
        <w:t xml:space="preserve"> subbasin delineations from the RCW 90.82</w:t>
      </w:r>
      <w:r>
        <w:t xml:space="preserve"> WRIA 14 pl</w:t>
      </w:r>
      <w:r w:rsidR="006D6E45">
        <w:t xml:space="preserve">anning map as a starting point, and also include the “South Shore” subbasin along the southern shore of Hood Canal (previously included in WRIA 16 planning). For the purposes of RCW 90.94, WRIA 14 will be considered as it is defined in the WAC 173-500.  It will not be split into WRIA 14a and WRIA 14b as was done for the RCW 90.82 planning effort.   </w:t>
      </w:r>
    </w:p>
    <w:p w:rsidR="00F43C32" w:rsidRDefault="00F43C32" w:rsidP="000E5F71">
      <w:pPr>
        <w:pStyle w:val="ListParagraph"/>
        <w:numPr>
          <w:ilvl w:val="1"/>
          <w:numId w:val="11"/>
        </w:numPr>
      </w:pPr>
      <w:r>
        <w:t>Committee members agreed to create a list of questions to help answer their concerns with sub-basin delineation, identify important GIS</w:t>
      </w:r>
      <w:r w:rsidR="006D6E45">
        <w:t xml:space="preserve"> layers</w:t>
      </w:r>
      <w:r>
        <w:t>, and compare that information to the WRIA 14</w:t>
      </w:r>
      <w:r w:rsidR="006D6E45">
        <w:t>/16</w:t>
      </w:r>
      <w:r>
        <w:t xml:space="preserve"> planning map</w:t>
      </w:r>
      <w:r w:rsidR="006D6E45">
        <w:t xml:space="preserve"> from RCW 90.82</w:t>
      </w:r>
      <w:r>
        <w:t xml:space="preserve"> to see whether or not changes need to be made. </w:t>
      </w:r>
    </w:p>
    <w:p w:rsidR="006437D4" w:rsidRDefault="00F43C32" w:rsidP="006437D4">
      <w:pPr>
        <w:pStyle w:val="ListParagraph"/>
        <w:numPr>
          <w:ilvl w:val="2"/>
          <w:numId w:val="11"/>
        </w:numPr>
      </w:pPr>
      <w:r>
        <w:t>Potential questions:</w:t>
      </w:r>
    </w:p>
    <w:p w:rsidR="00DC1327" w:rsidRDefault="00DC1327" w:rsidP="00F43C32">
      <w:pPr>
        <w:pStyle w:val="ListParagraph"/>
        <w:numPr>
          <w:ilvl w:val="3"/>
          <w:numId w:val="11"/>
        </w:numPr>
      </w:pPr>
      <w:r>
        <w:t>Where is the growth pressure and trends that will drive exempt wells?</w:t>
      </w:r>
    </w:p>
    <w:p w:rsidR="00DC1327" w:rsidRDefault="00DC1327" w:rsidP="00F43C32">
      <w:pPr>
        <w:pStyle w:val="ListParagraph"/>
        <w:numPr>
          <w:ilvl w:val="3"/>
          <w:numId w:val="11"/>
        </w:numPr>
        <w:rPr>
          <w:rFonts w:cstheme="minorHAnsi"/>
        </w:rPr>
      </w:pPr>
      <w:r w:rsidRPr="00B56D17">
        <w:rPr>
          <w:rFonts w:cstheme="minorHAnsi"/>
        </w:rPr>
        <w:t>Where will the first priority for mitigation projects be?</w:t>
      </w:r>
    </w:p>
    <w:p w:rsidR="00D578BF" w:rsidRPr="00B56D17" w:rsidRDefault="00D578BF" w:rsidP="00F43C32">
      <w:pPr>
        <w:pStyle w:val="ListParagraph"/>
        <w:numPr>
          <w:ilvl w:val="3"/>
          <w:numId w:val="11"/>
        </w:numPr>
        <w:rPr>
          <w:rFonts w:cstheme="minorHAnsi"/>
        </w:rPr>
      </w:pPr>
      <w:r>
        <w:rPr>
          <w:rFonts w:cstheme="minorHAnsi"/>
        </w:rPr>
        <w:t>What drives the size of a subbasin? When is large ok, when is small better?</w:t>
      </w:r>
    </w:p>
    <w:p w:rsidR="00ED6496" w:rsidRPr="0001680B" w:rsidRDefault="00ED6496" w:rsidP="00255592">
      <w:pPr>
        <w:pStyle w:val="Heading2"/>
        <w:rPr>
          <w:rFonts w:asciiTheme="minorHAnsi" w:hAnsiTheme="minorHAnsi" w:cstheme="minorHAnsi"/>
          <w:color w:val="auto"/>
          <w:sz w:val="22"/>
          <w:szCs w:val="22"/>
          <w:u w:val="single"/>
        </w:rPr>
      </w:pPr>
      <w:r w:rsidRPr="0001680B">
        <w:rPr>
          <w:rFonts w:asciiTheme="minorHAnsi" w:hAnsiTheme="minorHAnsi" w:cstheme="minorHAnsi"/>
          <w:color w:val="auto"/>
          <w:sz w:val="22"/>
          <w:szCs w:val="22"/>
          <w:u w:val="single"/>
        </w:rPr>
        <w:t>Outcome:</w:t>
      </w:r>
    </w:p>
    <w:p w:rsidR="007D7CCD" w:rsidRPr="00B3545B" w:rsidRDefault="006437D4" w:rsidP="006437D4">
      <w:pPr>
        <w:pStyle w:val="ListParagraph"/>
        <w:numPr>
          <w:ilvl w:val="0"/>
          <w:numId w:val="13"/>
        </w:numPr>
        <w:spacing w:after="0" w:line="240" w:lineRule="auto"/>
        <w:outlineLvl w:val="1"/>
        <w:rPr>
          <w:b/>
        </w:rPr>
      </w:pPr>
      <w:r>
        <w:t xml:space="preserve">Angela will bring the WRIA 14 sub-basins map with </w:t>
      </w:r>
      <w:r w:rsidR="00255592">
        <w:t>additional information</w:t>
      </w:r>
      <w:r>
        <w:t xml:space="preserve"> to the </w:t>
      </w:r>
      <w:r w:rsidR="00255592">
        <w:t xml:space="preserve">next </w:t>
      </w:r>
      <w:r>
        <w:t>technical workgroup meeting.</w:t>
      </w:r>
    </w:p>
    <w:p w:rsidR="007D7CCD" w:rsidRPr="00B56D17" w:rsidRDefault="00B3545B" w:rsidP="00675F1D">
      <w:pPr>
        <w:pStyle w:val="ListParagraph"/>
        <w:numPr>
          <w:ilvl w:val="0"/>
          <w:numId w:val="13"/>
        </w:numPr>
        <w:spacing w:after="0" w:line="240" w:lineRule="auto"/>
        <w:outlineLvl w:val="1"/>
        <w:rPr>
          <w:b/>
        </w:rPr>
      </w:pPr>
      <w:r>
        <w:t>Angela will send out a doodle poll</w:t>
      </w:r>
      <w:r w:rsidR="00273850">
        <w:t xml:space="preserve"> to help determin</w:t>
      </w:r>
      <w:r w:rsidR="00255592">
        <w:t>e the date of the next work</w:t>
      </w:r>
      <w:r w:rsidR="00273850">
        <w:t>group meeting</w:t>
      </w:r>
      <w:r>
        <w:t>.</w:t>
      </w:r>
    </w:p>
    <w:p w:rsidR="00271502" w:rsidRPr="000E3725" w:rsidRDefault="00E915C1" w:rsidP="000E3725">
      <w:pPr>
        <w:pStyle w:val="Heading1"/>
        <w:rPr>
          <w:rFonts w:asciiTheme="minorHAnsi" w:hAnsiTheme="minorHAnsi" w:cstheme="minorHAnsi"/>
          <w:sz w:val="26"/>
          <w:szCs w:val="26"/>
        </w:rPr>
      </w:pPr>
      <w:r w:rsidRPr="00B56D17">
        <w:rPr>
          <w:rStyle w:val="Heading1Char"/>
          <w:rFonts w:asciiTheme="minorHAnsi" w:hAnsiTheme="minorHAnsi" w:cstheme="minorHAnsi"/>
          <w:sz w:val="26"/>
          <w:szCs w:val="26"/>
        </w:rPr>
        <w:t xml:space="preserve">Proposed </w:t>
      </w:r>
      <w:proofErr w:type="gramStart"/>
      <w:r w:rsidRPr="00B56D17">
        <w:rPr>
          <w:rStyle w:val="Heading1Char"/>
          <w:rFonts w:asciiTheme="minorHAnsi" w:hAnsiTheme="minorHAnsi" w:cstheme="minorHAnsi"/>
          <w:sz w:val="26"/>
          <w:szCs w:val="26"/>
        </w:rPr>
        <w:t>Summer</w:t>
      </w:r>
      <w:proofErr w:type="gramEnd"/>
      <w:r w:rsidRPr="00B56D17">
        <w:rPr>
          <w:rStyle w:val="Heading1Char"/>
          <w:rFonts w:asciiTheme="minorHAnsi" w:hAnsiTheme="minorHAnsi" w:cstheme="minorHAnsi"/>
          <w:sz w:val="26"/>
          <w:szCs w:val="26"/>
        </w:rPr>
        <w:t xml:space="preserve"> and Fall 2019 Schedule</w:t>
      </w:r>
      <w:r w:rsidR="00271502" w:rsidRPr="00B56D17">
        <w:rPr>
          <w:rStyle w:val="Heading1Char"/>
          <w:rFonts w:asciiTheme="minorHAnsi" w:hAnsiTheme="minorHAnsi" w:cstheme="minorHAnsi"/>
          <w:sz w:val="26"/>
          <w:szCs w:val="26"/>
        </w:rPr>
        <w:t>:</w:t>
      </w:r>
    </w:p>
    <w:p w:rsidR="00F43C32" w:rsidRPr="00B56D17" w:rsidRDefault="00255592" w:rsidP="00B56D17">
      <w:pPr>
        <w:pStyle w:val="ListParagraph"/>
        <w:numPr>
          <w:ilvl w:val="0"/>
          <w:numId w:val="14"/>
        </w:numPr>
        <w:rPr>
          <w:rStyle w:val="Heading1Char"/>
          <w:rFonts w:asciiTheme="minorHAnsi" w:eastAsiaTheme="minorHAnsi" w:hAnsiTheme="minorHAnsi" w:cstheme="minorBidi"/>
          <w:color w:val="auto"/>
          <w:sz w:val="22"/>
          <w:szCs w:val="22"/>
        </w:rPr>
      </w:pPr>
      <w:r>
        <w:t xml:space="preserve">Angela presented a proposed meeting schedule for the remainder of 2019.  She will send out a revised version to correct erroneous dates. </w:t>
      </w:r>
    </w:p>
    <w:p w:rsidR="00271502" w:rsidRPr="00B56D17" w:rsidRDefault="00E915C1" w:rsidP="00255592">
      <w:pPr>
        <w:pStyle w:val="Heading1"/>
        <w:rPr>
          <w:rStyle w:val="Heading1Char"/>
          <w:rFonts w:asciiTheme="minorHAnsi" w:hAnsiTheme="minorHAnsi" w:cstheme="minorHAnsi"/>
          <w:sz w:val="26"/>
          <w:szCs w:val="26"/>
        </w:rPr>
      </w:pPr>
      <w:r w:rsidRPr="00B56D17">
        <w:rPr>
          <w:rStyle w:val="Heading1Char"/>
          <w:rFonts w:asciiTheme="minorHAnsi" w:hAnsiTheme="minorHAnsi" w:cstheme="minorHAnsi"/>
          <w:sz w:val="26"/>
          <w:szCs w:val="26"/>
        </w:rPr>
        <w:t>Parking Lot Items:</w:t>
      </w:r>
    </w:p>
    <w:p w:rsidR="00271502" w:rsidRPr="00255592" w:rsidRDefault="00255592" w:rsidP="00255592">
      <w:r>
        <w:t>Parking lot items will carry over to future meetings until the Committee agrees that they have been addressed.</w:t>
      </w:r>
    </w:p>
    <w:p w:rsidR="00255592" w:rsidRDefault="00255592" w:rsidP="00255592">
      <w:pPr>
        <w:pStyle w:val="ListParagraph"/>
        <w:numPr>
          <w:ilvl w:val="0"/>
          <w:numId w:val="14"/>
        </w:numPr>
      </w:pPr>
      <w:r>
        <w:t>10/31/18: How do permit-exempt wells impact/interact with instream flow rules, and how are they governed by them?</w:t>
      </w:r>
    </w:p>
    <w:p w:rsidR="00255592" w:rsidRDefault="00255592" w:rsidP="00255592">
      <w:pPr>
        <w:pStyle w:val="ListParagraph"/>
        <w:numPr>
          <w:ilvl w:val="0"/>
          <w:numId w:val="14"/>
        </w:numPr>
      </w:pPr>
      <w:r>
        <w:t>1/10/19: What is the expected review time for Ecology after the Committee approves and submits the final plan?</w:t>
      </w:r>
    </w:p>
    <w:p w:rsidR="00F43C32" w:rsidRDefault="00255592" w:rsidP="00B56D17">
      <w:pPr>
        <w:pStyle w:val="ListParagraph"/>
        <w:numPr>
          <w:ilvl w:val="0"/>
          <w:numId w:val="14"/>
        </w:numPr>
      </w:pPr>
      <w:r>
        <w:t>3/14/19: Is there funding available for studies outside of the work done by Ecology technical staff or the technical consultant (i.e. to start long-term stream gauging)?</w:t>
      </w:r>
    </w:p>
    <w:p w:rsidR="00271502" w:rsidRPr="000E3725" w:rsidRDefault="00E915C1" w:rsidP="000E3725">
      <w:pPr>
        <w:pStyle w:val="Heading1"/>
        <w:rPr>
          <w:rFonts w:asciiTheme="minorHAnsi" w:hAnsiTheme="minorHAnsi" w:cstheme="minorHAnsi"/>
          <w:sz w:val="26"/>
          <w:szCs w:val="26"/>
        </w:rPr>
      </w:pPr>
      <w:r w:rsidRPr="00B56D17">
        <w:rPr>
          <w:rStyle w:val="Heading1Char"/>
          <w:rFonts w:asciiTheme="minorHAnsi" w:hAnsiTheme="minorHAnsi" w:cstheme="minorHAnsi"/>
          <w:sz w:val="26"/>
          <w:szCs w:val="26"/>
        </w:rPr>
        <w:t>Public Comment:</w:t>
      </w:r>
    </w:p>
    <w:p w:rsidR="00E915C1" w:rsidRPr="000E3725" w:rsidRDefault="00BD181B" w:rsidP="007D7CCD">
      <w:pPr>
        <w:pStyle w:val="ListParagraph"/>
        <w:numPr>
          <w:ilvl w:val="0"/>
          <w:numId w:val="15"/>
        </w:numPr>
        <w:rPr>
          <w:rFonts w:cstheme="minorHAnsi"/>
        </w:rPr>
      </w:pPr>
      <w:r w:rsidRPr="000E3725">
        <w:rPr>
          <w:rFonts w:cstheme="minorHAnsi"/>
        </w:rPr>
        <w:t>N</w:t>
      </w:r>
      <w:r w:rsidR="000E3725" w:rsidRPr="000E3725">
        <w:rPr>
          <w:rFonts w:cstheme="minorHAnsi"/>
        </w:rPr>
        <w:t>o public comment was given.</w:t>
      </w:r>
    </w:p>
    <w:p w:rsidR="007D7CCD" w:rsidRPr="000E3725" w:rsidRDefault="00675F1D" w:rsidP="000E3725">
      <w:pPr>
        <w:pStyle w:val="Heading1"/>
        <w:rPr>
          <w:rFonts w:asciiTheme="minorHAnsi" w:hAnsiTheme="minorHAnsi" w:cstheme="minorHAnsi"/>
          <w:sz w:val="26"/>
          <w:szCs w:val="26"/>
        </w:rPr>
      </w:pPr>
      <w:r w:rsidRPr="000E3725">
        <w:rPr>
          <w:rFonts w:asciiTheme="minorHAnsi" w:hAnsiTheme="minorHAnsi" w:cstheme="minorHAnsi"/>
          <w:sz w:val="26"/>
          <w:szCs w:val="26"/>
        </w:rPr>
        <w:t>Action items</w:t>
      </w:r>
      <w:r w:rsidR="00E915C1" w:rsidRPr="000E3725">
        <w:rPr>
          <w:rFonts w:asciiTheme="minorHAnsi" w:hAnsiTheme="minorHAnsi" w:cstheme="minorHAnsi"/>
          <w:sz w:val="26"/>
          <w:szCs w:val="26"/>
        </w:rPr>
        <w:t xml:space="preserve"> and next steps</w:t>
      </w:r>
      <w:r w:rsidR="007D7CCD" w:rsidRPr="000E3725">
        <w:rPr>
          <w:rFonts w:asciiTheme="minorHAnsi" w:hAnsiTheme="minorHAnsi" w:cstheme="minorHAnsi"/>
          <w:sz w:val="26"/>
          <w:szCs w:val="26"/>
        </w:rPr>
        <w:t>:</w:t>
      </w:r>
    </w:p>
    <w:p w:rsidR="00B56D17" w:rsidRDefault="00B56D17" w:rsidP="00B56D17">
      <w:pPr>
        <w:pStyle w:val="ListParagraph"/>
        <w:numPr>
          <w:ilvl w:val="0"/>
          <w:numId w:val="15"/>
        </w:numPr>
      </w:pPr>
      <w:r>
        <w:t xml:space="preserve">Ecology chair will </w:t>
      </w:r>
      <w:r w:rsidR="000E3725">
        <w:t>continue to follow up with entities for signatures on the</w:t>
      </w:r>
      <w:r>
        <w:t xml:space="preserve"> Operating Principle</w:t>
      </w:r>
      <w:r w:rsidR="000E3725">
        <w:t>s.</w:t>
      </w:r>
    </w:p>
    <w:p w:rsidR="00B56D17" w:rsidRDefault="00B56D17" w:rsidP="00B56D17">
      <w:pPr>
        <w:pStyle w:val="ListParagraph"/>
        <w:numPr>
          <w:ilvl w:val="0"/>
          <w:numId w:val="15"/>
        </w:numPr>
      </w:pPr>
      <w:r>
        <w:t xml:space="preserve">Ecology chair will provide the Committee with resources on water rights, and will set up a presentation for further information. </w:t>
      </w:r>
    </w:p>
    <w:p w:rsidR="00B56D17" w:rsidRDefault="00B56D17" w:rsidP="00B56D17">
      <w:pPr>
        <w:pStyle w:val="ListParagraph"/>
        <w:numPr>
          <w:ilvl w:val="0"/>
          <w:numId w:val="15"/>
        </w:numPr>
      </w:pPr>
      <w:r>
        <w:t xml:space="preserve">Ecology chair will </w:t>
      </w:r>
      <w:r w:rsidR="000E3725">
        <w:t xml:space="preserve">set up workgroup meetings with those participating, and will notify the committee of the date. </w:t>
      </w:r>
    </w:p>
    <w:p w:rsidR="00B56D17" w:rsidRDefault="00B56D17" w:rsidP="00B56D17">
      <w:pPr>
        <w:pStyle w:val="ListParagraph"/>
        <w:numPr>
          <w:ilvl w:val="0"/>
          <w:numId w:val="15"/>
        </w:numPr>
      </w:pPr>
      <w:r>
        <w:t xml:space="preserve">Ecology will continue to set up trainings and presentations over the next several meetings based on the draft timeline.  </w:t>
      </w:r>
    </w:p>
    <w:p w:rsidR="00B56D17" w:rsidRDefault="00B56D17" w:rsidP="000E3725">
      <w:pPr>
        <w:pStyle w:val="ListParagraph"/>
        <w:numPr>
          <w:ilvl w:val="0"/>
          <w:numId w:val="15"/>
        </w:numPr>
      </w:pPr>
      <w:r>
        <w:t>Consider future discussion on “what does success look like?”</w:t>
      </w:r>
    </w:p>
    <w:p w:rsidR="00593AC5" w:rsidRDefault="00F43C32" w:rsidP="000E3725">
      <w:pPr>
        <w:pStyle w:val="ListParagraph"/>
        <w:numPr>
          <w:ilvl w:val="0"/>
          <w:numId w:val="15"/>
        </w:numPr>
      </w:pPr>
      <w:r>
        <w:lastRenderedPageBreak/>
        <w:t>Committee members proposed meeting near the Union area, closer to Hood Canal</w:t>
      </w:r>
      <w:r w:rsidR="00593AC5">
        <w:t>.</w:t>
      </w:r>
      <w:r w:rsidR="00DF5E59">
        <w:t xml:space="preserve"> For now, the Committee will continue to meet in the Mason Public Works building, but </w:t>
      </w:r>
      <w:r w:rsidR="000E3725">
        <w:t xml:space="preserve">Ecology chair will look into alternative meeting spaces for the future. </w:t>
      </w:r>
    </w:p>
    <w:p w:rsidR="00FA6404" w:rsidRDefault="00FA6404" w:rsidP="000E3725">
      <w:pPr>
        <w:pStyle w:val="ListParagraph"/>
        <w:numPr>
          <w:ilvl w:val="0"/>
          <w:numId w:val="15"/>
        </w:numPr>
      </w:pPr>
      <w:r>
        <w:t>The group discussed a water purveyor panel, including Mason PUD #1 and possibly WDOH or an SMA like NW Water.</w:t>
      </w:r>
    </w:p>
    <w:sectPr w:rsidR="00FA6404" w:rsidSect="007C7503">
      <w:footerReference w:type="default" r:id="rId9"/>
      <w:pgSz w:w="12240" w:h="15840"/>
      <w:pgMar w:top="1440" w:right="1080" w:bottom="108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292D44" w16cid:durableId="206338F7"/>
  <w16cid:commentId w16cid:paraId="4214CF24" w16cid:durableId="206341B7"/>
  <w16cid:commentId w16cid:paraId="49436CE3" w16cid:durableId="20633A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12E" w:rsidRDefault="009E012E" w:rsidP="00C01F27">
      <w:pPr>
        <w:spacing w:after="0" w:line="240" w:lineRule="auto"/>
      </w:pPr>
      <w:r>
        <w:separator/>
      </w:r>
    </w:p>
  </w:endnote>
  <w:endnote w:type="continuationSeparator" w:id="0">
    <w:p w:rsidR="009E012E" w:rsidRDefault="009E012E" w:rsidP="00C01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F27" w:rsidRDefault="00C01F27">
    <w:pPr>
      <w:pStyle w:val="Footer"/>
    </w:pPr>
    <w:r>
      <w:t>DRAFT</w:t>
    </w:r>
    <w:r>
      <w:tab/>
      <w:t>April 25,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12E" w:rsidRDefault="009E012E" w:rsidP="00C01F27">
      <w:pPr>
        <w:spacing w:after="0" w:line="240" w:lineRule="auto"/>
      </w:pPr>
      <w:r>
        <w:separator/>
      </w:r>
    </w:p>
  </w:footnote>
  <w:footnote w:type="continuationSeparator" w:id="0">
    <w:p w:rsidR="009E012E" w:rsidRDefault="009E012E" w:rsidP="00C01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4407"/>
    <w:multiLevelType w:val="hybridMultilevel"/>
    <w:tmpl w:val="77C2D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D5DA0"/>
    <w:multiLevelType w:val="hybridMultilevel"/>
    <w:tmpl w:val="FD42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B3ADD"/>
    <w:multiLevelType w:val="hybridMultilevel"/>
    <w:tmpl w:val="FC82A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67EE9"/>
    <w:multiLevelType w:val="hybridMultilevel"/>
    <w:tmpl w:val="23968B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A909EA"/>
    <w:multiLevelType w:val="hybridMultilevel"/>
    <w:tmpl w:val="FA0C2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60196"/>
    <w:multiLevelType w:val="hybridMultilevel"/>
    <w:tmpl w:val="FBD4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22629"/>
    <w:multiLevelType w:val="hybridMultilevel"/>
    <w:tmpl w:val="4ABA2B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A14028"/>
    <w:multiLevelType w:val="hybridMultilevel"/>
    <w:tmpl w:val="9A9252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566028"/>
    <w:multiLevelType w:val="hybridMultilevel"/>
    <w:tmpl w:val="DF9ABBE4"/>
    <w:lvl w:ilvl="0" w:tplc="AA1C6F6C">
      <w:start w:val="3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176A4"/>
    <w:multiLevelType w:val="hybridMultilevel"/>
    <w:tmpl w:val="832EF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87440C"/>
    <w:multiLevelType w:val="hybridMultilevel"/>
    <w:tmpl w:val="2696AD1A"/>
    <w:lvl w:ilvl="0" w:tplc="0DA85624">
      <w:start w:val="3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8029F6"/>
    <w:multiLevelType w:val="hybridMultilevel"/>
    <w:tmpl w:val="FD2E5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2205F4"/>
    <w:multiLevelType w:val="hybridMultilevel"/>
    <w:tmpl w:val="22963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6D4BD3"/>
    <w:multiLevelType w:val="hybridMultilevel"/>
    <w:tmpl w:val="19CC2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81603"/>
    <w:multiLevelType w:val="hybridMultilevel"/>
    <w:tmpl w:val="D77C3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26659D"/>
    <w:multiLevelType w:val="hybridMultilevel"/>
    <w:tmpl w:val="E932B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9"/>
  </w:num>
  <w:num w:numId="4">
    <w:abstractNumId w:val="12"/>
  </w:num>
  <w:num w:numId="5">
    <w:abstractNumId w:val="8"/>
  </w:num>
  <w:num w:numId="6">
    <w:abstractNumId w:val="10"/>
  </w:num>
  <w:num w:numId="7">
    <w:abstractNumId w:val="3"/>
  </w:num>
  <w:num w:numId="8">
    <w:abstractNumId w:val="7"/>
  </w:num>
  <w:num w:numId="9">
    <w:abstractNumId w:val="11"/>
  </w:num>
  <w:num w:numId="10">
    <w:abstractNumId w:val="2"/>
  </w:num>
  <w:num w:numId="11">
    <w:abstractNumId w:val="6"/>
  </w:num>
  <w:num w:numId="12">
    <w:abstractNumId w:val="5"/>
  </w:num>
  <w:num w:numId="13">
    <w:abstractNumId w:val="1"/>
  </w:num>
  <w:num w:numId="14">
    <w:abstractNumId w:val="14"/>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F1D"/>
    <w:rsid w:val="00000947"/>
    <w:rsid w:val="0001680B"/>
    <w:rsid w:val="000375AC"/>
    <w:rsid w:val="00091619"/>
    <w:rsid w:val="000E3725"/>
    <w:rsid w:val="000E5F71"/>
    <w:rsid w:val="00112D6B"/>
    <w:rsid w:val="00147CD7"/>
    <w:rsid w:val="001541EF"/>
    <w:rsid w:val="001A57CB"/>
    <w:rsid w:val="001E4EB7"/>
    <w:rsid w:val="00233E37"/>
    <w:rsid w:val="00250A6B"/>
    <w:rsid w:val="00255592"/>
    <w:rsid w:val="00271502"/>
    <w:rsid w:val="00273850"/>
    <w:rsid w:val="00335952"/>
    <w:rsid w:val="003A395E"/>
    <w:rsid w:val="003D0E71"/>
    <w:rsid w:val="00425BFC"/>
    <w:rsid w:val="00440FF2"/>
    <w:rsid w:val="0045403A"/>
    <w:rsid w:val="004605DD"/>
    <w:rsid w:val="005175FA"/>
    <w:rsid w:val="00593AC5"/>
    <w:rsid w:val="005F67FC"/>
    <w:rsid w:val="00600F85"/>
    <w:rsid w:val="006437D4"/>
    <w:rsid w:val="00657A9D"/>
    <w:rsid w:val="00675F1D"/>
    <w:rsid w:val="00680A82"/>
    <w:rsid w:val="006A1307"/>
    <w:rsid w:val="006C0F80"/>
    <w:rsid w:val="006C6E36"/>
    <w:rsid w:val="006D6E45"/>
    <w:rsid w:val="00730D9B"/>
    <w:rsid w:val="007419B1"/>
    <w:rsid w:val="00766E94"/>
    <w:rsid w:val="007D7CCD"/>
    <w:rsid w:val="007E690A"/>
    <w:rsid w:val="00816413"/>
    <w:rsid w:val="00863B00"/>
    <w:rsid w:val="00896ABF"/>
    <w:rsid w:val="008E6C81"/>
    <w:rsid w:val="008E7CA7"/>
    <w:rsid w:val="00935660"/>
    <w:rsid w:val="00966240"/>
    <w:rsid w:val="009966A6"/>
    <w:rsid w:val="009D7006"/>
    <w:rsid w:val="009E012E"/>
    <w:rsid w:val="009F111E"/>
    <w:rsid w:val="009F1E33"/>
    <w:rsid w:val="009F6482"/>
    <w:rsid w:val="00A66864"/>
    <w:rsid w:val="00A946E7"/>
    <w:rsid w:val="00AC5B93"/>
    <w:rsid w:val="00AD4CEB"/>
    <w:rsid w:val="00B2504C"/>
    <w:rsid w:val="00B3545B"/>
    <w:rsid w:val="00B56D17"/>
    <w:rsid w:val="00B92404"/>
    <w:rsid w:val="00BD181B"/>
    <w:rsid w:val="00BE4434"/>
    <w:rsid w:val="00C01F27"/>
    <w:rsid w:val="00C32420"/>
    <w:rsid w:val="00C706C5"/>
    <w:rsid w:val="00D10896"/>
    <w:rsid w:val="00D21A89"/>
    <w:rsid w:val="00D578BF"/>
    <w:rsid w:val="00D7681E"/>
    <w:rsid w:val="00D92B3E"/>
    <w:rsid w:val="00DB2A8E"/>
    <w:rsid w:val="00DC1327"/>
    <w:rsid w:val="00DF5E59"/>
    <w:rsid w:val="00E237F7"/>
    <w:rsid w:val="00E83316"/>
    <w:rsid w:val="00E8430A"/>
    <w:rsid w:val="00E915C1"/>
    <w:rsid w:val="00E91F6D"/>
    <w:rsid w:val="00ED6496"/>
    <w:rsid w:val="00EF346C"/>
    <w:rsid w:val="00EF46FD"/>
    <w:rsid w:val="00F0481E"/>
    <w:rsid w:val="00F43C32"/>
    <w:rsid w:val="00F64691"/>
    <w:rsid w:val="00FA2096"/>
    <w:rsid w:val="00FA6404"/>
    <w:rsid w:val="00FC1EE2"/>
    <w:rsid w:val="00FD5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251BD"/>
  <w15:docId w15:val="{3D3C61ED-5543-4F7F-87F8-2EEC8C02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81E"/>
  </w:style>
  <w:style w:type="paragraph" w:styleId="Heading1">
    <w:name w:val="heading 1"/>
    <w:basedOn w:val="Normal"/>
    <w:next w:val="Normal"/>
    <w:link w:val="Heading1Char"/>
    <w:uiPriority w:val="9"/>
    <w:qFormat/>
    <w:rsid w:val="007D7C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7C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5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5F1D"/>
    <w:rPr>
      <w:sz w:val="16"/>
      <w:szCs w:val="16"/>
    </w:rPr>
  </w:style>
  <w:style w:type="paragraph" w:styleId="CommentText">
    <w:name w:val="annotation text"/>
    <w:basedOn w:val="Normal"/>
    <w:link w:val="CommentTextChar"/>
    <w:uiPriority w:val="99"/>
    <w:semiHidden/>
    <w:unhideWhenUsed/>
    <w:rsid w:val="00675F1D"/>
    <w:pPr>
      <w:spacing w:line="240" w:lineRule="auto"/>
    </w:pPr>
    <w:rPr>
      <w:sz w:val="20"/>
      <w:szCs w:val="20"/>
    </w:rPr>
  </w:style>
  <w:style w:type="character" w:customStyle="1" w:styleId="CommentTextChar">
    <w:name w:val="Comment Text Char"/>
    <w:basedOn w:val="DefaultParagraphFont"/>
    <w:link w:val="CommentText"/>
    <w:uiPriority w:val="99"/>
    <w:semiHidden/>
    <w:rsid w:val="00675F1D"/>
    <w:rPr>
      <w:sz w:val="20"/>
      <w:szCs w:val="20"/>
    </w:rPr>
  </w:style>
  <w:style w:type="paragraph" w:styleId="CommentSubject">
    <w:name w:val="annotation subject"/>
    <w:basedOn w:val="CommentText"/>
    <w:next w:val="CommentText"/>
    <w:link w:val="CommentSubjectChar"/>
    <w:uiPriority w:val="99"/>
    <w:semiHidden/>
    <w:unhideWhenUsed/>
    <w:rsid w:val="00675F1D"/>
    <w:rPr>
      <w:b/>
      <w:bCs/>
    </w:rPr>
  </w:style>
  <w:style w:type="character" w:customStyle="1" w:styleId="CommentSubjectChar">
    <w:name w:val="Comment Subject Char"/>
    <w:basedOn w:val="CommentTextChar"/>
    <w:link w:val="CommentSubject"/>
    <w:uiPriority w:val="99"/>
    <w:semiHidden/>
    <w:rsid w:val="00675F1D"/>
    <w:rPr>
      <w:b/>
      <w:bCs/>
      <w:sz w:val="20"/>
      <w:szCs w:val="20"/>
    </w:rPr>
  </w:style>
  <w:style w:type="paragraph" w:styleId="BalloonText">
    <w:name w:val="Balloon Text"/>
    <w:basedOn w:val="Normal"/>
    <w:link w:val="BalloonTextChar"/>
    <w:uiPriority w:val="99"/>
    <w:semiHidden/>
    <w:unhideWhenUsed/>
    <w:rsid w:val="00675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F1D"/>
    <w:rPr>
      <w:rFonts w:ascii="Segoe UI" w:hAnsi="Segoe UI" w:cs="Segoe UI"/>
      <w:sz w:val="18"/>
      <w:szCs w:val="18"/>
    </w:rPr>
  </w:style>
  <w:style w:type="character" w:styleId="Hyperlink">
    <w:name w:val="Hyperlink"/>
    <w:basedOn w:val="DefaultParagraphFont"/>
    <w:uiPriority w:val="99"/>
    <w:unhideWhenUsed/>
    <w:rsid w:val="007D7CCD"/>
    <w:rPr>
      <w:color w:val="0563C1" w:themeColor="hyperlink"/>
      <w:u w:val="single"/>
    </w:rPr>
  </w:style>
  <w:style w:type="character" w:customStyle="1" w:styleId="Heading2Char">
    <w:name w:val="Heading 2 Char"/>
    <w:basedOn w:val="DefaultParagraphFont"/>
    <w:link w:val="Heading2"/>
    <w:uiPriority w:val="9"/>
    <w:rsid w:val="007D7CCD"/>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7D7CC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10896"/>
    <w:pPr>
      <w:ind w:left="720"/>
      <w:contextualSpacing/>
    </w:pPr>
  </w:style>
  <w:style w:type="paragraph" w:styleId="NoSpacing">
    <w:name w:val="No Spacing"/>
    <w:uiPriority w:val="1"/>
    <w:qFormat/>
    <w:rsid w:val="00EF346C"/>
    <w:pPr>
      <w:spacing w:after="0" w:line="240" w:lineRule="auto"/>
    </w:pPr>
  </w:style>
  <w:style w:type="paragraph" w:styleId="Header">
    <w:name w:val="header"/>
    <w:basedOn w:val="Normal"/>
    <w:link w:val="HeaderChar"/>
    <w:uiPriority w:val="99"/>
    <w:unhideWhenUsed/>
    <w:rsid w:val="00C01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F27"/>
  </w:style>
  <w:style w:type="paragraph" w:styleId="Footer">
    <w:name w:val="footer"/>
    <w:basedOn w:val="Normal"/>
    <w:link w:val="FooterChar"/>
    <w:uiPriority w:val="99"/>
    <w:unhideWhenUsed/>
    <w:rsid w:val="00C01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johnson@ecy.wa.go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ezview.wa.gov/site/alias__1962/37326/watershed_restoration_and_enhancement_-_wria_14.aspx" TargetMode="External"/><Relationship Id="rId12" Type="http://schemas.microsoft.com/office/2016/09/relationships/commentsIds" Target="commentsIds.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_dlc_DocId xmlns="ef268caf-1fb8-457d-9d19-5700d63503a6">Z7ARTAUZ4RFD-1961471117-605</_dlc_DocId>
    <_dlc_DocIdUrl xmlns="ef268caf-1fb8-457d-9d19-5700d63503a6">
      <Url>http://teams/sites/WR/srs/_layouts/15/DocIdRedir.aspx?ID=Z7ARTAUZ4RFD-1961471117-605</Url>
      <Description>Z7ARTAUZ4RFD-1961471117-605</Description>
    </_dlc_DocIdUrl>
  </documentManagement>
</p:properties>
</file>

<file path=customXml/itemProps1.xml><?xml version="1.0" encoding="utf-8"?>
<ds:datastoreItem xmlns:ds="http://schemas.openxmlformats.org/officeDocument/2006/customXml" ds:itemID="{A6132B91-9667-4B9A-93FD-F4C411FC7B54}"/>
</file>

<file path=customXml/itemProps2.xml><?xml version="1.0" encoding="utf-8"?>
<ds:datastoreItem xmlns:ds="http://schemas.openxmlformats.org/officeDocument/2006/customXml" ds:itemID="{D61B0166-04FD-4A05-A37C-BCB74BA7C273}"/>
</file>

<file path=customXml/itemProps3.xml><?xml version="1.0" encoding="utf-8"?>
<ds:datastoreItem xmlns:ds="http://schemas.openxmlformats.org/officeDocument/2006/customXml" ds:itemID="{ADBC044E-2AF4-4576-89A7-6B14CE18B659}"/>
</file>

<file path=customXml/itemProps4.xml><?xml version="1.0" encoding="utf-8"?>
<ds:datastoreItem xmlns:ds="http://schemas.openxmlformats.org/officeDocument/2006/customXml" ds:itemID="{35262FAA-02A8-44F5-A81A-5510C8A3A65C}"/>
</file>

<file path=docProps/app.xml><?xml version="1.0" encoding="utf-8"?>
<Properties xmlns="http://schemas.openxmlformats.org/officeDocument/2006/extended-properties" xmlns:vt="http://schemas.openxmlformats.org/officeDocument/2006/docPropsVTypes">
  <Template>Normal.dotm</Template>
  <TotalTime>0</TotalTime>
  <Pages>6</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WREC April 11, 2019 Approved Meeting Summary</dc:title>
  <dc:subject/>
  <dc:creator>Madeline Remmen</dc:creator>
  <cp:keywords/>
  <dc:description/>
  <cp:lastModifiedBy>Johnson, Angela (ECY)</cp:lastModifiedBy>
  <cp:revision>3</cp:revision>
  <dcterms:created xsi:type="dcterms:W3CDTF">2020-10-23T22:43:00Z</dcterms:created>
  <dcterms:modified xsi:type="dcterms:W3CDTF">2020-10-23T22:43:00Z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f1e82ff1-9e7b-4009-9573-cf124230cef7</vt:lpwstr>
  </property>
</Properties>
</file>