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4636E" w14:textId="15780D1F" w:rsidR="00E64426" w:rsidRDefault="39305EF7" w:rsidP="00281369">
      <w:pPr>
        <w:pStyle w:val="Heading2"/>
      </w:pPr>
      <w:r>
        <w:t xml:space="preserve">Adaptive Management </w:t>
      </w:r>
    </w:p>
    <w:p w14:paraId="01710AB6" w14:textId="15A424EF" w:rsidR="000B010C" w:rsidRPr="001F0076" w:rsidRDefault="000B010C" w:rsidP="000B010C">
      <w:pPr>
        <w:pStyle w:val="CommentText"/>
        <w:rPr>
          <w:sz w:val="22"/>
          <w:szCs w:val="22"/>
        </w:rPr>
      </w:pPr>
      <w:r w:rsidRPr="001F0076">
        <w:rPr>
          <w:sz w:val="22"/>
          <w:szCs w:val="22"/>
        </w:rPr>
        <w:t xml:space="preserve">The WRIA </w:t>
      </w:r>
      <w:r w:rsidR="001A5C0D">
        <w:rPr>
          <w:sz w:val="22"/>
          <w:szCs w:val="22"/>
        </w:rPr>
        <w:t>14</w:t>
      </w:r>
      <w:r w:rsidRPr="001F0076">
        <w:rPr>
          <w:sz w:val="22"/>
          <w:szCs w:val="22"/>
        </w:rPr>
        <w:t xml:space="preserve"> Committee supports an adaptive management process for implementation of the WRIA </w:t>
      </w:r>
      <w:r w:rsidR="001A5C0D">
        <w:rPr>
          <w:sz w:val="22"/>
          <w:szCs w:val="22"/>
        </w:rPr>
        <w:t>14</w:t>
      </w:r>
      <w:r w:rsidRPr="001F0076">
        <w:rPr>
          <w:sz w:val="22"/>
          <w:szCs w:val="22"/>
        </w:rPr>
        <w:t xml:space="preserve"> watershed plan. </w:t>
      </w:r>
      <w:r w:rsidR="001A5C0D" w:rsidRPr="001A5C0D">
        <w:rPr>
          <w:sz w:val="22"/>
          <w:szCs w:val="22"/>
        </w:rPr>
        <w:t>Adaptive Management is defined in the Net Ecological Benefit Guidance as</w:t>
      </w:r>
      <w:r w:rsidR="001A5C0D">
        <w:t xml:space="preserve"> ‘</w:t>
      </w:r>
      <w:r w:rsidR="001A5C0D" w:rsidRPr="4A3B7352">
        <w:rPr>
          <w:i/>
          <w:iCs/>
        </w:rPr>
        <w:t xml:space="preserve">an interactive and systematic decision-making process that aims to reduce uncertainty over time and help meet project, action, and plan performance goals by learning from the implementation and outcomes of projects and </w:t>
      </w:r>
      <w:r w:rsidR="001A5C0D" w:rsidRPr="001F0076">
        <w:rPr>
          <w:i/>
          <w:iCs/>
        </w:rPr>
        <w:t>actions</w:t>
      </w:r>
      <w:r w:rsidR="001A5C0D">
        <w:rPr>
          <w:i/>
          <w:iCs/>
        </w:rPr>
        <w:t>”</w:t>
      </w:r>
      <w:r w:rsidR="001A5C0D" w:rsidRPr="001F0076">
        <w:t xml:space="preserve">. </w:t>
      </w:r>
      <w:r w:rsidRPr="001F0076">
        <w:rPr>
          <w:sz w:val="22"/>
          <w:szCs w:val="22"/>
        </w:rPr>
        <w:t xml:space="preserve">Adaptive management will help address uncertainty and provide more reasonable assurance for plan implementation. </w:t>
      </w:r>
    </w:p>
    <w:p w14:paraId="62667E77" w14:textId="4F2D0623" w:rsidR="008A63A6" w:rsidRDefault="008A63A6" w:rsidP="008A63A6">
      <w:r>
        <w:t xml:space="preserve">The WRIA </w:t>
      </w:r>
      <w:r w:rsidR="001A5C0D">
        <w:t>14</w:t>
      </w:r>
      <w:r>
        <w:t xml:space="preserve"> Committee </w:t>
      </w:r>
      <w:r w:rsidR="001A5C0D">
        <w:t>recommends</w:t>
      </w:r>
      <w:r>
        <w:t xml:space="preserve"> the following:  </w:t>
      </w:r>
    </w:p>
    <w:p w14:paraId="110E80FC" w14:textId="668626E9" w:rsidR="008A63A6" w:rsidRDefault="001A5C0D" w:rsidP="001A5C0D">
      <w:pPr>
        <w:pStyle w:val="Heading2"/>
        <w:numPr>
          <w:ilvl w:val="0"/>
          <w:numId w:val="2"/>
        </w:numPr>
      </w:pPr>
      <w:r>
        <w:t>Tracking and Monitoring</w:t>
      </w:r>
    </w:p>
    <w:p w14:paraId="1C2F67AD" w14:textId="77777777" w:rsidR="00972246" w:rsidRDefault="00972246" w:rsidP="001A5C0D">
      <w:r>
        <w:t>It is important to track the growth of permit-exempt wells in the watershed as well as the projects and policies that were planned to offset the impacts of these exempt wells.  Data on these items will all the WREC to determine whether planning assumptions were accurate and whether adaptation is needed as new information is provided.</w:t>
      </w:r>
    </w:p>
    <w:p w14:paraId="438FB8FF" w14:textId="1B5CFB05" w:rsidR="001A5C0D" w:rsidRDefault="00972246" w:rsidP="003A15F9">
      <w:pPr>
        <w:pStyle w:val="ListParagraph"/>
        <w:numPr>
          <w:ilvl w:val="0"/>
          <w:numId w:val="8"/>
        </w:numPr>
        <w:spacing w:after="0" w:line="240" w:lineRule="auto"/>
      </w:pPr>
      <w:r>
        <w:t>The WRIA 14 WERC recommends that t</w:t>
      </w:r>
      <w:r w:rsidR="001A5C0D">
        <w:t>he following information be tracked on an ongoing basis:</w:t>
      </w:r>
    </w:p>
    <w:p w14:paraId="585391B9" w14:textId="6C189240" w:rsidR="001A5C0D" w:rsidRDefault="001A5C0D" w:rsidP="001A5C0D">
      <w:pPr>
        <w:pStyle w:val="ListParagraph"/>
        <w:numPr>
          <w:ilvl w:val="0"/>
          <w:numId w:val="3"/>
        </w:numPr>
      </w:pPr>
      <w:r>
        <w:t>Building permits issued that include permit-exempt wells</w:t>
      </w:r>
    </w:p>
    <w:p w14:paraId="05AF8236" w14:textId="4C54B752" w:rsidR="001A5C0D" w:rsidRDefault="001A5C0D" w:rsidP="001A5C0D">
      <w:pPr>
        <w:pStyle w:val="ListParagraph"/>
        <w:numPr>
          <w:ilvl w:val="0"/>
          <w:numId w:val="3"/>
        </w:numPr>
      </w:pPr>
      <w:r>
        <w:t>An ongoing list and map of new permit-exempt wells in the WRIA since the enactment of RCW 90.94.030</w:t>
      </w:r>
    </w:p>
    <w:p w14:paraId="509D8FFB" w14:textId="5412A53A" w:rsidR="001A5C0D" w:rsidRDefault="001A5C0D" w:rsidP="001A5C0D">
      <w:pPr>
        <w:pStyle w:val="ListParagraph"/>
        <w:numPr>
          <w:ilvl w:val="0"/>
          <w:numId w:val="3"/>
        </w:numPr>
      </w:pPr>
      <w:r>
        <w:t xml:space="preserve">Status of </w:t>
      </w:r>
      <w:r w:rsidR="00972246">
        <w:t xml:space="preserve">implementation for each project included in </w:t>
      </w:r>
      <w:commentRangeStart w:id="0"/>
      <w:r w:rsidR="00972246">
        <w:t>this plan</w:t>
      </w:r>
      <w:commentRangeEnd w:id="0"/>
      <w:r w:rsidR="00972246">
        <w:rPr>
          <w:rStyle w:val="CommentReference"/>
        </w:rPr>
        <w:commentReference w:id="0"/>
      </w:r>
      <w:r w:rsidR="00142E3C">
        <w:t xml:space="preserve"> (see recommendation 1. C. below)</w:t>
      </w:r>
    </w:p>
    <w:p w14:paraId="6D39F597" w14:textId="76213913" w:rsidR="00972246" w:rsidRDefault="00972246" w:rsidP="00972246">
      <w:pPr>
        <w:pStyle w:val="ListParagraph"/>
        <w:numPr>
          <w:ilvl w:val="0"/>
          <w:numId w:val="3"/>
        </w:numPr>
      </w:pPr>
      <w:r>
        <w:t xml:space="preserve">Status of policy recommendations included in </w:t>
      </w:r>
      <w:commentRangeStart w:id="1"/>
      <w:r>
        <w:t xml:space="preserve">this plan </w:t>
      </w:r>
      <w:commentRangeEnd w:id="1"/>
      <w:r>
        <w:rPr>
          <w:rStyle w:val="CommentReference"/>
        </w:rPr>
        <w:commentReference w:id="1"/>
      </w:r>
    </w:p>
    <w:p w14:paraId="739793B9" w14:textId="77777777" w:rsidR="00CC18F4" w:rsidRDefault="00CC18F4" w:rsidP="00CC18F4">
      <w:pPr>
        <w:pStyle w:val="ListParagraph"/>
      </w:pPr>
    </w:p>
    <w:p w14:paraId="068847DD" w14:textId="603EB5B6" w:rsidR="00CC18F4" w:rsidRDefault="00CC18F4" w:rsidP="00CC18F4">
      <w:pPr>
        <w:pStyle w:val="ListParagraph"/>
        <w:numPr>
          <w:ilvl w:val="0"/>
          <w:numId w:val="8"/>
        </w:numPr>
      </w:pPr>
      <w:r>
        <w:t xml:space="preserve">The WRIA 14 WREC also recommends that a </w:t>
      </w:r>
      <w:commentRangeStart w:id="2"/>
      <w:r>
        <w:t xml:space="preserve">research and monitoring strategy </w:t>
      </w:r>
      <w:commentRangeEnd w:id="2"/>
      <w:r w:rsidR="00EC5FB0">
        <w:rPr>
          <w:rStyle w:val="CommentReference"/>
        </w:rPr>
        <w:commentReference w:id="2"/>
      </w:r>
      <w:r>
        <w:t>should be developed for WRIA 14 that addresses the following:</w:t>
      </w:r>
    </w:p>
    <w:p w14:paraId="0CB57504" w14:textId="536F06BF" w:rsidR="00CC18F4" w:rsidRDefault="00CC18F4" w:rsidP="00CC18F4">
      <w:pPr>
        <w:pStyle w:val="ListParagraph"/>
        <w:numPr>
          <w:ilvl w:val="0"/>
          <w:numId w:val="6"/>
        </w:numPr>
      </w:pPr>
      <w:r>
        <w:t>Streamflow monitoring</w:t>
      </w:r>
    </w:p>
    <w:p w14:paraId="6562C100" w14:textId="4D47D40C" w:rsidR="00CC18F4" w:rsidRDefault="00CC18F4" w:rsidP="00CC18F4">
      <w:pPr>
        <w:pStyle w:val="ListParagraph"/>
        <w:numPr>
          <w:ilvl w:val="0"/>
          <w:numId w:val="6"/>
        </w:numPr>
      </w:pPr>
      <w:r>
        <w:t>Groundwater monitoring</w:t>
      </w:r>
    </w:p>
    <w:p w14:paraId="579EA27B" w14:textId="53DAECDB" w:rsidR="00CC18F4" w:rsidRDefault="00142E3C" w:rsidP="00CC18F4">
      <w:pPr>
        <w:pStyle w:val="ListParagraph"/>
        <w:numPr>
          <w:ilvl w:val="0"/>
          <w:numId w:val="6"/>
        </w:numPr>
      </w:pPr>
      <w:r>
        <w:t>Precipitation</w:t>
      </w:r>
      <w:r w:rsidR="00CC18F4">
        <w:t xml:space="preserve"> and drought conditions</w:t>
      </w:r>
    </w:p>
    <w:p w14:paraId="45847DCD" w14:textId="6CCB6DF3" w:rsidR="00CC18F4" w:rsidRDefault="00CC18F4" w:rsidP="00CC18F4">
      <w:pPr>
        <w:pStyle w:val="ListParagraph"/>
        <w:numPr>
          <w:ilvl w:val="0"/>
          <w:numId w:val="6"/>
        </w:numPr>
      </w:pPr>
      <w:r>
        <w:t>Land use changes</w:t>
      </w:r>
    </w:p>
    <w:p w14:paraId="5346043A" w14:textId="2E98B810" w:rsidR="00142E3C" w:rsidRDefault="00142E3C" w:rsidP="00CC18F4">
      <w:pPr>
        <w:pStyle w:val="ListParagraph"/>
        <w:numPr>
          <w:ilvl w:val="0"/>
          <w:numId w:val="6"/>
        </w:numPr>
      </w:pPr>
      <w:r>
        <w:t>Water usage and water supply data</w:t>
      </w:r>
      <w:bookmarkStart w:id="3" w:name="_GoBack"/>
      <w:bookmarkEnd w:id="3"/>
    </w:p>
    <w:p w14:paraId="33DA0452" w14:textId="77777777" w:rsidR="00142E3C" w:rsidRDefault="00142E3C" w:rsidP="00142E3C">
      <w:pPr>
        <w:pStyle w:val="ListParagraph"/>
        <w:ind w:left="1080"/>
      </w:pPr>
    </w:p>
    <w:p w14:paraId="288A15FB" w14:textId="679D8D0F" w:rsidR="00142E3C" w:rsidRDefault="00142E3C" w:rsidP="00142E3C">
      <w:pPr>
        <w:pStyle w:val="ListParagraph"/>
        <w:numPr>
          <w:ilvl w:val="0"/>
          <w:numId w:val="8"/>
        </w:numPr>
      </w:pPr>
      <w:commentRangeStart w:id="4"/>
      <w:r>
        <w:t>In order to track project i</w:t>
      </w:r>
      <w:r w:rsidR="00770AD7">
        <w:t>mplementation</w:t>
      </w:r>
      <w:r>
        <w:t xml:space="preserve">,  The WRIA 14 WREC recommends  </w:t>
      </w:r>
      <w:r w:rsidR="00C52FC7">
        <w:t>tracking</w:t>
      </w:r>
      <w:r>
        <w:t xml:space="preserve"> streamflow restoration projects and new domestic permit-exempt wells to: 1.) improve the capacity to conduct implementation monitoring of streamflow restoration projects and actions, 2.) develop grant funding opportunities and track associated costs, and 3.) provide a template for adaptively managing emergent restoration needs. The Committee recommends piloting the Salmon Recovery Portal (</w:t>
      </w:r>
      <w:r w:rsidRPr="1179C2C5">
        <w:rPr>
          <w:rStyle w:val="Hyperlink"/>
        </w:rPr>
        <w:t>https://srp.rco.wa.gov/about</w:t>
      </w:r>
      <w:r>
        <w:t xml:space="preserve">), managed by the Recreation and Conservation Office (RCO), for satisfying these needs. The implementation of project tracking through a pilot program using the Salmon Recovery Portal will be coordinated by the Washington Department of Fish &amp; Wildlife in collaboration with the Washington Department of Ecology, RCO. </w:t>
      </w:r>
      <w:r w:rsidR="00C52FC7" w:rsidRPr="00045E83">
        <w:t>Ecology is not statutorily obligated to implement projects included in approved watershed plans developed through the RCW 90.94 process.</w:t>
      </w:r>
      <w:r w:rsidR="00C52FC7">
        <w:rPr>
          <w:rFonts w:ascii="Times New Roman" w:hAnsi="Times New Roman" w:cs="Times New Roman"/>
          <w:sz w:val="24"/>
          <w:szCs w:val="24"/>
        </w:rPr>
        <w:t xml:space="preserve"> </w:t>
      </w:r>
      <w:r>
        <w:t xml:space="preserve">To improve harmonization of streamflow restoration with ongoing salmon recovery efforts, local salmon recovery Lead Entity </w:t>
      </w:r>
      <w:r>
        <w:lastRenderedPageBreak/>
        <w:t>Coordinators shall be consulted prior to initial data uploads. University of Washington data stewards will be employed to conduct data entry, quality assurance, and quality control.</w:t>
      </w:r>
      <w:commentRangeEnd w:id="4"/>
      <w:r>
        <w:rPr>
          <w:rStyle w:val="CommentReference"/>
        </w:rPr>
        <w:commentReference w:id="4"/>
      </w:r>
    </w:p>
    <w:p w14:paraId="6329BBAB" w14:textId="3F656461" w:rsidR="00CC18F4" w:rsidRDefault="00CC18F4" w:rsidP="00CC18F4">
      <w:r>
        <w:t>Table 1 summarizes the entities responsible for carrying out this recommendation and associated funding needs.</w:t>
      </w:r>
    </w:p>
    <w:p w14:paraId="29E07ED6" w14:textId="715A5EC9" w:rsidR="00CC18F4" w:rsidRPr="00CC18F4" w:rsidRDefault="00CC18F4" w:rsidP="00CC18F4">
      <w:pPr>
        <w:spacing w:after="0"/>
        <w:rPr>
          <w:i/>
          <w:iCs/>
        </w:rPr>
      </w:pPr>
      <w:r w:rsidRPr="00CC18F4">
        <w:rPr>
          <w:i/>
          <w:iCs/>
        </w:rPr>
        <w:t>Table 1: Implementation of Tracking and Monitoring Recommendation</w:t>
      </w:r>
    </w:p>
    <w:tbl>
      <w:tblPr>
        <w:tblStyle w:val="TableGrid"/>
        <w:tblW w:w="9535" w:type="dxa"/>
        <w:tblLook w:val="04A0" w:firstRow="1" w:lastRow="0" w:firstColumn="1" w:lastColumn="0" w:noHBand="0" w:noVBand="1"/>
      </w:tblPr>
      <w:tblGrid>
        <w:gridCol w:w="3145"/>
        <w:gridCol w:w="3060"/>
        <w:gridCol w:w="3330"/>
      </w:tblGrid>
      <w:tr w:rsidR="00972246" w14:paraId="1C5D07ED" w14:textId="77777777" w:rsidTr="00972246">
        <w:tc>
          <w:tcPr>
            <w:tcW w:w="3145" w:type="dxa"/>
            <w:shd w:val="clear" w:color="auto" w:fill="D0CECE" w:themeFill="background2" w:themeFillShade="E6"/>
          </w:tcPr>
          <w:p w14:paraId="73A5F9DA" w14:textId="2BC86219" w:rsidR="00972246" w:rsidRDefault="00CC18F4" w:rsidP="00CE77E8">
            <w:pPr>
              <w:pStyle w:val="Heading3"/>
              <w:outlineLvl w:val="2"/>
            </w:pPr>
            <w:r>
              <w:t>Action</w:t>
            </w:r>
          </w:p>
        </w:tc>
        <w:tc>
          <w:tcPr>
            <w:tcW w:w="3060" w:type="dxa"/>
            <w:shd w:val="clear" w:color="auto" w:fill="D0CECE" w:themeFill="background2" w:themeFillShade="E6"/>
          </w:tcPr>
          <w:p w14:paraId="416F1FA6" w14:textId="5B0AB609" w:rsidR="00972246" w:rsidRDefault="00972246" w:rsidP="00CE77E8">
            <w:pPr>
              <w:pStyle w:val="Heading3"/>
              <w:outlineLvl w:val="2"/>
            </w:pPr>
            <w:r>
              <w:t>Entity or Entities Responsible</w:t>
            </w:r>
          </w:p>
        </w:tc>
        <w:tc>
          <w:tcPr>
            <w:tcW w:w="3330" w:type="dxa"/>
            <w:shd w:val="clear" w:color="auto" w:fill="D0CECE" w:themeFill="background2" w:themeFillShade="E6"/>
          </w:tcPr>
          <w:p w14:paraId="5F1DFC18" w14:textId="19A52A00" w:rsidR="00972246" w:rsidRDefault="00972246" w:rsidP="00CE77E8">
            <w:pPr>
              <w:pStyle w:val="Heading3"/>
              <w:outlineLvl w:val="2"/>
            </w:pPr>
            <w:r>
              <w:t>Funding Considerations</w:t>
            </w:r>
          </w:p>
        </w:tc>
      </w:tr>
      <w:tr w:rsidR="00972246" w:rsidRPr="005A5973" w14:paraId="7094D391" w14:textId="77777777" w:rsidTr="00972246">
        <w:tc>
          <w:tcPr>
            <w:tcW w:w="3145" w:type="dxa"/>
          </w:tcPr>
          <w:p w14:paraId="3805D575" w14:textId="703E1FCF" w:rsidR="00972246" w:rsidRPr="005A5973" w:rsidRDefault="00CC18F4" w:rsidP="00CE77E8">
            <w:pPr>
              <w:rPr>
                <w:sz w:val="20"/>
                <w:szCs w:val="20"/>
              </w:rPr>
            </w:pPr>
            <w:r>
              <w:rPr>
                <w:sz w:val="20"/>
                <w:szCs w:val="20"/>
              </w:rPr>
              <w:t>Track b</w:t>
            </w:r>
            <w:r w:rsidR="00972246">
              <w:rPr>
                <w:sz w:val="20"/>
                <w:szCs w:val="20"/>
              </w:rPr>
              <w:t>uilding permits issued with permit exempt wells.</w:t>
            </w:r>
          </w:p>
        </w:tc>
        <w:tc>
          <w:tcPr>
            <w:tcW w:w="3060" w:type="dxa"/>
          </w:tcPr>
          <w:p w14:paraId="52DAB27C" w14:textId="77777777" w:rsidR="00972246" w:rsidRPr="005A5973" w:rsidRDefault="00972246" w:rsidP="00CE77E8">
            <w:pPr>
              <w:rPr>
                <w:sz w:val="20"/>
                <w:szCs w:val="20"/>
              </w:rPr>
            </w:pPr>
            <w:r>
              <w:rPr>
                <w:sz w:val="20"/>
                <w:szCs w:val="20"/>
              </w:rPr>
              <w:t>Ecology (via reporting from counties and cities).</w:t>
            </w:r>
          </w:p>
        </w:tc>
        <w:tc>
          <w:tcPr>
            <w:tcW w:w="3330" w:type="dxa"/>
          </w:tcPr>
          <w:p w14:paraId="2AFE15BE" w14:textId="3631FDB5" w:rsidR="00972246" w:rsidRPr="005A5973" w:rsidRDefault="00972246" w:rsidP="00CE77E8">
            <w:pPr>
              <w:rPr>
                <w:sz w:val="20"/>
                <w:szCs w:val="20"/>
              </w:rPr>
            </w:pPr>
            <w:r>
              <w:rPr>
                <w:sz w:val="20"/>
                <w:szCs w:val="20"/>
              </w:rPr>
              <w:t>The number of building permits and associated fees are transmitted to Ecology annually.  No additional funding is needed.</w:t>
            </w:r>
          </w:p>
        </w:tc>
      </w:tr>
      <w:tr w:rsidR="00972246" w:rsidRPr="005A5973" w14:paraId="5FA922FA" w14:textId="77777777" w:rsidTr="00972246">
        <w:tc>
          <w:tcPr>
            <w:tcW w:w="3145" w:type="dxa"/>
          </w:tcPr>
          <w:p w14:paraId="18854EB3" w14:textId="1B0E0A0A" w:rsidR="00972246" w:rsidRPr="005A5973" w:rsidRDefault="00CC18F4" w:rsidP="00CE77E8">
            <w:pPr>
              <w:rPr>
                <w:sz w:val="20"/>
                <w:szCs w:val="20"/>
              </w:rPr>
            </w:pPr>
            <w:r>
              <w:rPr>
                <w:sz w:val="20"/>
                <w:szCs w:val="20"/>
              </w:rPr>
              <w:t>Maintain a</w:t>
            </w:r>
            <w:r w:rsidR="00972246">
              <w:rPr>
                <w:sz w:val="20"/>
                <w:szCs w:val="20"/>
              </w:rPr>
              <w:t>n</w:t>
            </w:r>
            <w:r>
              <w:rPr>
                <w:sz w:val="20"/>
                <w:szCs w:val="20"/>
              </w:rPr>
              <w:t xml:space="preserve"> on</w:t>
            </w:r>
            <w:r w:rsidR="00972246">
              <w:rPr>
                <w:sz w:val="20"/>
                <w:szCs w:val="20"/>
              </w:rPr>
              <w:t>going list and map of new PEWs within each sub-basin.</w:t>
            </w:r>
          </w:p>
        </w:tc>
        <w:tc>
          <w:tcPr>
            <w:tcW w:w="3060" w:type="dxa"/>
          </w:tcPr>
          <w:p w14:paraId="4D28E798" w14:textId="3E218AF1" w:rsidR="00972246" w:rsidRPr="005A5973" w:rsidRDefault="00972246" w:rsidP="00CE77E8">
            <w:pPr>
              <w:rPr>
                <w:sz w:val="20"/>
                <w:szCs w:val="20"/>
              </w:rPr>
            </w:pPr>
            <w:r>
              <w:rPr>
                <w:sz w:val="20"/>
                <w:szCs w:val="20"/>
              </w:rPr>
              <w:t>Ecology</w:t>
            </w:r>
          </w:p>
        </w:tc>
        <w:tc>
          <w:tcPr>
            <w:tcW w:w="3330" w:type="dxa"/>
          </w:tcPr>
          <w:p w14:paraId="35497F65" w14:textId="6A2C07BE" w:rsidR="00972246" w:rsidRPr="005A5973" w:rsidRDefault="00972246" w:rsidP="00CE77E8">
            <w:pPr>
              <w:rPr>
                <w:sz w:val="20"/>
                <w:szCs w:val="20"/>
              </w:rPr>
            </w:pPr>
            <w:r>
              <w:rPr>
                <w:sz w:val="20"/>
                <w:szCs w:val="20"/>
              </w:rPr>
              <w:t>Updated with new permit-exempt wells provided by local governments. No additional funding is needed.</w:t>
            </w:r>
          </w:p>
        </w:tc>
      </w:tr>
      <w:tr w:rsidR="00972246" w:rsidRPr="005A5973" w14:paraId="072C7580" w14:textId="77777777" w:rsidTr="00972246">
        <w:tc>
          <w:tcPr>
            <w:tcW w:w="3145" w:type="dxa"/>
          </w:tcPr>
          <w:p w14:paraId="76AFB020" w14:textId="10B2E7EC" w:rsidR="00972246" w:rsidRPr="005A5973" w:rsidRDefault="00CC18F4" w:rsidP="00CE77E8">
            <w:pPr>
              <w:rPr>
                <w:sz w:val="20"/>
                <w:szCs w:val="20"/>
              </w:rPr>
            </w:pPr>
            <w:r>
              <w:rPr>
                <w:sz w:val="20"/>
                <w:szCs w:val="20"/>
              </w:rPr>
              <w:t>Maintain a summary of the s</w:t>
            </w:r>
            <w:r w:rsidR="00972246">
              <w:rPr>
                <w:sz w:val="20"/>
                <w:szCs w:val="20"/>
              </w:rPr>
              <w:t xml:space="preserve">tatus of implementation for each project </w:t>
            </w:r>
          </w:p>
        </w:tc>
        <w:tc>
          <w:tcPr>
            <w:tcW w:w="3060" w:type="dxa"/>
          </w:tcPr>
          <w:p w14:paraId="4D04BDA0" w14:textId="52C49FA8" w:rsidR="00972246" w:rsidRPr="005A5973" w:rsidRDefault="00142E3C" w:rsidP="00972246">
            <w:pPr>
              <w:rPr>
                <w:sz w:val="20"/>
                <w:szCs w:val="20"/>
              </w:rPr>
            </w:pPr>
            <w:r>
              <w:rPr>
                <w:sz w:val="20"/>
                <w:szCs w:val="20"/>
              </w:rPr>
              <w:t>WDFW using the Salmon Recovery Portal</w:t>
            </w:r>
          </w:p>
        </w:tc>
        <w:tc>
          <w:tcPr>
            <w:tcW w:w="3330" w:type="dxa"/>
          </w:tcPr>
          <w:p w14:paraId="6B005792" w14:textId="641786A1" w:rsidR="00972246" w:rsidRPr="003E71AB" w:rsidRDefault="00972246" w:rsidP="00CE77E8">
            <w:pPr>
              <w:rPr>
                <w:sz w:val="20"/>
                <w:szCs w:val="20"/>
              </w:rPr>
            </w:pPr>
            <w:r>
              <w:rPr>
                <w:sz w:val="20"/>
                <w:szCs w:val="20"/>
              </w:rPr>
              <w:t xml:space="preserve">WDFW may need additional funding to support </w:t>
            </w:r>
            <w:r w:rsidR="00CC18F4">
              <w:rPr>
                <w:sz w:val="20"/>
                <w:szCs w:val="20"/>
              </w:rPr>
              <w:t>maintaining the salmon recovery portal.</w:t>
            </w:r>
          </w:p>
        </w:tc>
      </w:tr>
      <w:tr w:rsidR="00972246" w:rsidRPr="005A5973" w14:paraId="6F9CB40F" w14:textId="77777777" w:rsidTr="00972246">
        <w:tc>
          <w:tcPr>
            <w:tcW w:w="3145" w:type="dxa"/>
          </w:tcPr>
          <w:p w14:paraId="4FA473E9" w14:textId="718EBB3F" w:rsidR="00972246" w:rsidRDefault="00CC18F4" w:rsidP="00CE77E8">
            <w:pPr>
              <w:rPr>
                <w:sz w:val="20"/>
                <w:szCs w:val="20"/>
              </w:rPr>
            </w:pPr>
            <w:r>
              <w:rPr>
                <w:sz w:val="20"/>
                <w:szCs w:val="20"/>
              </w:rPr>
              <w:t>Maintain a summary of the s</w:t>
            </w:r>
            <w:r w:rsidR="00972246">
              <w:rPr>
                <w:sz w:val="20"/>
                <w:szCs w:val="20"/>
              </w:rPr>
              <w:t>tatus of each policy recommendation.</w:t>
            </w:r>
          </w:p>
        </w:tc>
        <w:tc>
          <w:tcPr>
            <w:tcW w:w="3060" w:type="dxa"/>
          </w:tcPr>
          <w:p w14:paraId="72FF8543" w14:textId="68379491" w:rsidR="00972246" w:rsidRDefault="00CC18F4" w:rsidP="00CE77E8">
            <w:pPr>
              <w:rPr>
                <w:sz w:val="20"/>
                <w:szCs w:val="20"/>
              </w:rPr>
            </w:pPr>
            <w:commentRangeStart w:id="5"/>
            <w:commentRangeEnd w:id="5"/>
            <w:r>
              <w:rPr>
                <w:rStyle w:val="CommentReference"/>
              </w:rPr>
              <w:commentReference w:id="5"/>
            </w:r>
          </w:p>
        </w:tc>
        <w:tc>
          <w:tcPr>
            <w:tcW w:w="3330" w:type="dxa"/>
          </w:tcPr>
          <w:p w14:paraId="07234863" w14:textId="7594CADE" w:rsidR="00972246" w:rsidRPr="003E71AB" w:rsidRDefault="00972246" w:rsidP="00CE77E8">
            <w:pPr>
              <w:rPr>
                <w:sz w:val="20"/>
                <w:szCs w:val="20"/>
              </w:rPr>
            </w:pPr>
          </w:p>
        </w:tc>
      </w:tr>
      <w:tr w:rsidR="00CC18F4" w:rsidRPr="005A5973" w14:paraId="7875A52E" w14:textId="77777777" w:rsidTr="00972246">
        <w:tc>
          <w:tcPr>
            <w:tcW w:w="3145" w:type="dxa"/>
          </w:tcPr>
          <w:p w14:paraId="13DC49B9" w14:textId="6678AEA6" w:rsidR="00CC18F4" w:rsidRDefault="00CC18F4" w:rsidP="00CE77E8">
            <w:pPr>
              <w:rPr>
                <w:sz w:val="20"/>
                <w:szCs w:val="20"/>
              </w:rPr>
            </w:pPr>
            <w:r>
              <w:rPr>
                <w:sz w:val="20"/>
                <w:szCs w:val="20"/>
              </w:rPr>
              <w:t>Prepare a research and monitoring strategy for WRIA 14</w:t>
            </w:r>
          </w:p>
        </w:tc>
        <w:tc>
          <w:tcPr>
            <w:tcW w:w="3060" w:type="dxa"/>
          </w:tcPr>
          <w:p w14:paraId="0504F270" w14:textId="61C789D7" w:rsidR="00CC18F4" w:rsidRDefault="00CC18F4" w:rsidP="00CE77E8">
            <w:pPr>
              <w:rPr>
                <w:rStyle w:val="CommentReference"/>
              </w:rPr>
            </w:pPr>
            <w:r w:rsidRPr="00CC18F4">
              <w:rPr>
                <w:sz w:val="20"/>
                <w:szCs w:val="20"/>
              </w:rPr>
              <w:t>WREC Committee (or another entity with similar representation is WREC is not continued)</w:t>
            </w:r>
          </w:p>
        </w:tc>
        <w:tc>
          <w:tcPr>
            <w:tcW w:w="3330" w:type="dxa"/>
          </w:tcPr>
          <w:p w14:paraId="29D556F4" w14:textId="60DBC369" w:rsidR="00CC18F4" w:rsidRPr="003E71AB" w:rsidRDefault="00CC18F4" w:rsidP="00CE77E8">
            <w:pPr>
              <w:rPr>
                <w:sz w:val="20"/>
                <w:szCs w:val="20"/>
              </w:rPr>
            </w:pPr>
            <w:r>
              <w:rPr>
                <w:sz w:val="20"/>
                <w:szCs w:val="20"/>
              </w:rPr>
              <w:t xml:space="preserve">Funding would be needed for the development and implementation of the strategy.  </w:t>
            </w:r>
            <w:commentRangeStart w:id="6"/>
            <w:r>
              <w:rPr>
                <w:sz w:val="20"/>
                <w:szCs w:val="20"/>
              </w:rPr>
              <w:t>It is assumed this would come from the legislature.</w:t>
            </w:r>
            <w:commentRangeEnd w:id="6"/>
            <w:r>
              <w:rPr>
                <w:rStyle w:val="CommentReference"/>
              </w:rPr>
              <w:commentReference w:id="6"/>
            </w:r>
          </w:p>
        </w:tc>
      </w:tr>
    </w:tbl>
    <w:p w14:paraId="7319B8E9" w14:textId="77777777" w:rsidR="00CC18F4" w:rsidRDefault="00CC18F4" w:rsidP="008A63A6"/>
    <w:p w14:paraId="393CF429" w14:textId="0E790DCE" w:rsidR="00142E3C" w:rsidRDefault="00142E3C" w:rsidP="00142E3C">
      <w:pPr>
        <w:pStyle w:val="Heading2"/>
        <w:numPr>
          <w:ilvl w:val="0"/>
          <w:numId w:val="2"/>
        </w:numPr>
      </w:pPr>
      <w:r>
        <w:t>Reporting</w:t>
      </w:r>
    </w:p>
    <w:p w14:paraId="7279F91A" w14:textId="6D225D68" w:rsidR="00CE77E8" w:rsidRDefault="003A15F9" w:rsidP="003A15F9">
      <w:r w:rsidRPr="003A15F9">
        <w:t xml:space="preserve">The data collected above will be provided to WREC members and other interested persons through annual reporting and a self-assessment every five years. This will provide information on whether the plan’s recommendations are being implemented and whether they are having the anticipated effects.  </w:t>
      </w:r>
    </w:p>
    <w:p w14:paraId="6C6B705C" w14:textId="15D8FC90" w:rsidR="003A15F9" w:rsidRPr="003A15F9" w:rsidRDefault="00086C61" w:rsidP="003A15F9">
      <w:pPr>
        <w:pStyle w:val="ListParagraph"/>
        <w:numPr>
          <w:ilvl w:val="0"/>
          <w:numId w:val="27"/>
        </w:numPr>
        <w:spacing w:after="0"/>
      </w:pPr>
      <w:r>
        <w:t xml:space="preserve">The WRIA 14 WREC recommends annual reporting as follows: </w:t>
      </w:r>
    </w:p>
    <w:p w14:paraId="01E971DD" w14:textId="78D27E24" w:rsidR="00CE77E8" w:rsidRPr="003A15F9" w:rsidRDefault="003A15F9" w:rsidP="003A15F9">
      <w:pPr>
        <w:pStyle w:val="paragraph"/>
        <w:spacing w:before="0" w:beforeAutospacing="0" w:after="0" w:afterAutospacing="0"/>
        <w:ind w:left="720"/>
        <w:textAlignment w:val="baseline"/>
        <w:rPr>
          <w:rFonts w:asciiTheme="minorHAnsi" w:eastAsiaTheme="minorHAnsi" w:hAnsiTheme="minorHAnsi" w:cstheme="minorBidi"/>
          <w:sz w:val="22"/>
          <w:szCs w:val="22"/>
        </w:rPr>
      </w:pPr>
      <w:r w:rsidRPr="003A15F9">
        <w:rPr>
          <w:rFonts w:asciiTheme="minorHAnsi" w:eastAsiaTheme="minorHAnsi" w:hAnsiTheme="minorHAnsi" w:cstheme="minorBidi"/>
          <w:sz w:val="22"/>
          <w:szCs w:val="22"/>
        </w:rPr>
        <w:t>Mason and Thurston Counties</w:t>
      </w:r>
      <w:r w:rsidR="00CE77E8" w:rsidRPr="003A15F9">
        <w:rPr>
          <w:rFonts w:asciiTheme="minorHAnsi" w:eastAsiaTheme="minorHAnsi" w:hAnsiTheme="minorHAnsi" w:cstheme="minorBidi"/>
          <w:sz w:val="22"/>
          <w:szCs w:val="22"/>
        </w:rPr>
        <w:t> will prepare and submit a brief memo to Ecology by April 1</w:t>
      </w:r>
      <w:r w:rsidR="00086C61">
        <w:rPr>
          <w:rFonts w:asciiTheme="minorHAnsi" w:eastAsiaTheme="minorHAnsi" w:hAnsiTheme="minorHAnsi" w:cstheme="minorBidi"/>
          <w:sz w:val="22"/>
          <w:szCs w:val="22"/>
        </w:rPr>
        <w:t>,</w:t>
      </w:r>
      <w:r w:rsidR="00CE77E8" w:rsidRPr="003A15F9">
        <w:rPr>
          <w:rFonts w:asciiTheme="minorHAnsi" w:eastAsiaTheme="minorHAnsi" w:hAnsiTheme="minorHAnsi" w:cstheme="minorBidi"/>
          <w:sz w:val="22"/>
          <w:szCs w:val="22"/>
        </w:rPr>
        <w:t xml:space="preserve"> </w:t>
      </w:r>
      <w:r w:rsidR="00086C61">
        <w:rPr>
          <w:rFonts w:asciiTheme="minorHAnsi" w:eastAsiaTheme="minorHAnsi" w:hAnsiTheme="minorHAnsi" w:cstheme="minorBidi"/>
          <w:sz w:val="22"/>
          <w:szCs w:val="22"/>
        </w:rPr>
        <w:t>2022,</w:t>
      </w:r>
      <w:r w:rsidR="00CE77E8" w:rsidRPr="003A15F9">
        <w:rPr>
          <w:rFonts w:asciiTheme="minorHAnsi" w:eastAsiaTheme="minorHAnsi" w:hAnsiTheme="minorHAnsi" w:cstheme="minorBidi"/>
          <w:sz w:val="22"/>
          <w:szCs w:val="22"/>
        </w:rPr>
        <w:t xml:space="preserve"> and every year thereafter during the planning horizon period, describing: </w:t>
      </w:r>
    </w:p>
    <w:p w14:paraId="25737FFD" w14:textId="77777777" w:rsidR="00CE77E8" w:rsidRDefault="00CE77E8" w:rsidP="003A15F9">
      <w:pPr>
        <w:pStyle w:val="ListParagraph"/>
        <w:numPr>
          <w:ilvl w:val="0"/>
          <w:numId w:val="3"/>
        </w:numPr>
      </w:pPr>
      <w:r w:rsidRPr="003A15F9">
        <w:t>The number of new building permits associated with new domestic permit-exempt wells issued in the prior calendar year. </w:t>
      </w:r>
    </w:p>
    <w:p w14:paraId="5B01CEB2" w14:textId="0CB35D9F" w:rsidR="00CE77E8" w:rsidRDefault="00CE77E8" w:rsidP="003A15F9">
      <w:pPr>
        <w:pStyle w:val="ListParagraph"/>
        <w:numPr>
          <w:ilvl w:val="0"/>
          <w:numId w:val="3"/>
        </w:numPr>
      </w:pPr>
      <w:r w:rsidRPr="003A15F9">
        <w:t>The email addresses associated with the new building permit recipients</w:t>
      </w:r>
      <w:r w:rsidR="003A15F9" w:rsidRPr="003A15F9">
        <w:t xml:space="preserve"> </w:t>
      </w:r>
      <w:r w:rsidRPr="003A15F9">
        <w:t>where available. </w:t>
      </w:r>
    </w:p>
    <w:p w14:paraId="6F636EEF" w14:textId="6BEBFFB2" w:rsidR="00CE77E8" w:rsidRDefault="00CE77E8" w:rsidP="003A15F9">
      <w:pPr>
        <w:pStyle w:val="ListParagraph"/>
        <w:numPr>
          <w:ilvl w:val="0"/>
          <w:numId w:val="3"/>
        </w:numPr>
      </w:pPr>
      <w:r w:rsidRPr="003A15F9">
        <w:t xml:space="preserve">A brief description of the status </w:t>
      </w:r>
      <w:r w:rsidR="003A15F9">
        <w:t>of each WRIA 14 projects/actions</w:t>
      </w:r>
      <w:r w:rsidRPr="003A15F9">
        <w:t> </w:t>
      </w:r>
      <w:r w:rsidR="003A15F9">
        <w:t>included in this plan, drawn from the Salmon Recovery Portal.</w:t>
      </w:r>
    </w:p>
    <w:p w14:paraId="54A3B2B8" w14:textId="7AB64C2E" w:rsidR="00CE77E8" w:rsidRDefault="00CE77E8" w:rsidP="003A15F9">
      <w:pPr>
        <w:pStyle w:val="ListParagraph"/>
        <w:numPr>
          <w:ilvl w:val="0"/>
          <w:numId w:val="3"/>
        </w:numPr>
      </w:pPr>
      <w:r w:rsidRPr="003A15F9">
        <w:t xml:space="preserve">Any other implementation actions to </w:t>
      </w:r>
      <w:r w:rsidR="003A15F9">
        <w:t>date, including any changes in approach since the last</w:t>
      </w:r>
      <w:r w:rsidRPr="003A15F9">
        <w:t> report, and any challenges identified that may require a change in approach. </w:t>
      </w:r>
    </w:p>
    <w:p w14:paraId="3E9588B5" w14:textId="58A25587" w:rsidR="00EF0315" w:rsidRDefault="00EF0315" w:rsidP="00EF0315">
      <w:pPr>
        <w:pStyle w:val="ListParagraph"/>
        <w:numPr>
          <w:ilvl w:val="0"/>
          <w:numId w:val="3"/>
        </w:numPr>
      </w:pPr>
      <w:r>
        <w:t>Ecology will share this report with WREC members and other interested parties.</w:t>
      </w:r>
    </w:p>
    <w:p w14:paraId="0D7437EC" w14:textId="77777777" w:rsidR="003A15F9" w:rsidRDefault="003A15F9" w:rsidP="003A15F9">
      <w:pPr>
        <w:pStyle w:val="ListParagraph"/>
        <w:ind w:left="1080"/>
      </w:pPr>
    </w:p>
    <w:p w14:paraId="190AE401" w14:textId="39DAA922" w:rsidR="00CE77E8" w:rsidRPr="003A15F9" w:rsidRDefault="00086C61" w:rsidP="003A15F9">
      <w:pPr>
        <w:pStyle w:val="ListParagraph"/>
        <w:numPr>
          <w:ilvl w:val="0"/>
          <w:numId w:val="27"/>
        </w:numPr>
        <w:spacing w:after="0"/>
      </w:pPr>
      <w:r>
        <w:t>The WRIA 14 WREC recommends a s</w:t>
      </w:r>
      <w:r w:rsidR="003A15F9" w:rsidRPr="003A15F9">
        <w:t>elf-</w:t>
      </w:r>
      <w:r>
        <w:t>a</w:t>
      </w:r>
      <w:r w:rsidR="003A15F9" w:rsidRPr="003A15F9">
        <w:t>ssessment</w:t>
      </w:r>
      <w:r>
        <w:t xml:space="preserve"> be prepared every five years as follows:</w:t>
      </w:r>
    </w:p>
    <w:p w14:paraId="27399F6B" w14:textId="0C54EBD9" w:rsidR="00CE77E8" w:rsidRPr="003A15F9" w:rsidRDefault="003A15F9" w:rsidP="003A15F9">
      <w:pPr>
        <w:pStyle w:val="paragraph"/>
        <w:spacing w:before="0" w:beforeAutospacing="0" w:after="0" w:afterAutospacing="0"/>
        <w:ind w:left="720"/>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Mason and Thurston Counties</w:t>
      </w:r>
      <w:r w:rsidR="00CE77E8" w:rsidRPr="003A15F9">
        <w:rPr>
          <w:rFonts w:asciiTheme="minorHAnsi" w:eastAsiaTheme="minorHAnsi" w:hAnsiTheme="minorHAnsi" w:cstheme="minorBidi"/>
          <w:sz w:val="22"/>
          <w:szCs w:val="22"/>
        </w:rPr>
        <w:t> will prepare and submit to Ecology</w:t>
      </w:r>
      <w:r w:rsidR="005F3DD7">
        <w:rPr>
          <w:rFonts w:asciiTheme="minorHAnsi" w:eastAsiaTheme="minorHAnsi" w:hAnsiTheme="minorHAnsi" w:cstheme="minorBidi"/>
          <w:sz w:val="22"/>
          <w:szCs w:val="22"/>
        </w:rPr>
        <w:t xml:space="preserve"> and WREC </w:t>
      </w:r>
      <w:r w:rsidR="00EE5BC9">
        <w:rPr>
          <w:rFonts w:asciiTheme="minorHAnsi" w:eastAsiaTheme="minorHAnsi" w:hAnsiTheme="minorHAnsi" w:cstheme="minorBidi"/>
          <w:sz w:val="22"/>
          <w:szCs w:val="22"/>
        </w:rPr>
        <w:t xml:space="preserve">members </w:t>
      </w:r>
      <w:r w:rsidR="00EE5BC9" w:rsidRPr="003A15F9">
        <w:rPr>
          <w:rFonts w:asciiTheme="minorHAnsi" w:eastAsiaTheme="minorHAnsi" w:hAnsiTheme="minorHAnsi" w:cstheme="minorBidi"/>
          <w:sz w:val="22"/>
          <w:szCs w:val="22"/>
        </w:rPr>
        <w:t>by</w:t>
      </w:r>
      <w:r w:rsidR="00CE77E8" w:rsidRPr="003A15F9">
        <w:rPr>
          <w:rFonts w:asciiTheme="minorHAnsi" w:eastAsiaTheme="minorHAnsi" w:hAnsiTheme="minorHAnsi" w:cstheme="minorBidi"/>
          <w:sz w:val="22"/>
          <w:szCs w:val="22"/>
        </w:rPr>
        <w:t> July 1, 202</w:t>
      </w:r>
      <w:r w:rsidR="00086C61">
        <w:rPr>
          <w:rFonts w:asciiTheme="minorHAnsi" w:eastAsiaTheme="minorHAnsi" w:hAnsiTheme="minorHAnsi" w:cstheme="minorBidi"/>
          <w:sz w:val="22"/>
          <w:szCs w:val="22"/>
        </w:rPr>
        <w:t>6</w:t>
      </w:r>
      <w:r w:rsidR="00CE77E8" w:rsidRPr="003A15F9">
        <w:rPr>
          <w:rFonts w:asciiTheme="minorHAnsi" w:eastAsiaTheme="minorHAnsi" w:hAnsiTheme="minorHAnsi" w:cstheme="minorBidi"/>
          <w:sz w:val="22"/>
          <w:szCs w:val="22"/>
        </w:rPr>
        <w:t>, and every five years thereafter during the planning horizon period, a description of: </w:t>
      </w:r>
    </w:p>
    <w:p w14:paraId="68A586D6" w14:textId="77777777" w:rsidR="00CE77E8" w:rsidRDefault="00CE77E8" w:rsidP="003A15F9">
      <w:pPr>
        <w:pStyle w:val="ListParagraph"/>
        <w:numPr>
          <w:ilvl w:val="0"/>
          <w:numId w:val="3"/>
        </w:numPr>
      </w:pPr>
      <w:r w:rsidRPr="003A15F9">
        <w:t>The total (cumulative) number of new building permits associated with domestic permit-exempt wells issued from January 19, 2018 thru the most recent calendar year. </w:t>
      </w:r>
    </w:p>
    <w:p w14:paraId="3132BE13" w14:textId="78F42AC3" w:rsidR="00CE77E8" w:rsidRDefault="00CE77E8" w:rsidP="003A15F9">
      <w:pPr>
        <w:pStyle w:val="ListParagraph"/>
        <w:numPr>
          <w:ilvl w:val="0"/>
          <w:numId w:val="3"/>
        </w:numPr>
      </w:pPr>
      <w:r w:rsidRPr="003A15F9">
        <w:lastRenderedPageBreak/>
        <w:t>The status of the implementation of WRIA 1</w:t>
      </w:r>
      <w:r w:rsidR="00EF0315">
        <w:t xml:space="preserve">4 </w:t>
      </w:r>
      <w:r w:rsidRPr="003A15F9">
        <w:t>projects/actions. </w:t>
      </w:r>
    </w:p>
    <w:p w14:paraId="02B29BD3" w14:textId="310A8926" w:rsidR="00CE77E8" w:rsidRDefault="00CE77E8" w:rsidP="003A15F9">
      <w:pPr>
        <w:pStyle w:val="ListParagraph"/>
        <w:numPr>
          <w:ilvl w:val="0"/>
          <w:numId w:val="3"/>
        </w:numPr>
      </w:pPr>
      <w:r w:rsidRPr="003A15F9">
        <w:t>An estimate of the quantity of water</w:t>
      </w:r>
      <w:r w:rsidR="00EF0315">
        <w:t xml:space="preserve"> and instream flow benefits realized through implementation </w:t>
      </w:r>
      <w:r w:rsidRPr="003A15F9">
        <w:t>of projects/actions identified in this </w:t>
      </w:r>
      <w:r w:rsidR="00EF0315">
        <w:t>plan.</w:t>
      </w:r>
      <w:r w:rsidRPr="003A15F9">
        <w:t xml:space="preserve"> </w:t>
      </w:r>
    </w:p>
    <w:p w14:paraId="7C3C3F42" w14:textId="40288923" w:rsidR="005F3DD7" w:rsidRPr="005F3DD7" w:rsidRDefault="005F3DD7" w:rsidP="005F3DD7">
      <w:pPr>
        <w:pStyle w:val="paragraph"/>
        <w:spacing w:before="0" w:beforeAutospacing="0" w:after="0" w:afterAutospacing="0"/>
        <w:ind w:left="720"/>
        <w:textAlignment w:val="baseline"/>
        <w:rPr>
          <w:rFonts w:asciiTheme="minorHAnsi" w:eastAsiaTheme="minorHAnsi" w:hAnsiTheme="minorHAnsi" w:cstheme="minorBidi"/>
          <w:sz w:val="22"/>
          <w:szCs w:val="22"/>
        </w:rPr>
      </w:pPr>
      <w:r w:rsidRPr="005F3DD7">
        <w:rPr>
          <w:rFonts w:asciiTheme="minorHAnsi" w:eastAsiaTheme="minorHAnsi" w:hAnsiTheme="minorHAnsi" w:cstheme="minorBidi"/>
          <w:sz w:val="22"/>
          <w:szCs w:val="22"/>
        </w:rPr>
        <w:t>The WREC will convene to prepare:</w:t>
      </w:r>
    </w:p>
    <w:p w14:paraId="1695F920" w14:textId="15EBBD51" w:rsidR="00EF0315" w:rsidRDefault="00EF0315" w:rsidP="003A15F9">
      <w:pPr>
        <w:pStyle w:val="ListParagraph"/>
        <w:numPr>
          <w:ilvl w:val="0"/>
          <w:numId w:val="3"/>
        </w:numPr>
      </w:pPr>
      <w:r>
        <w:t>Recommendations for new projects or actions, revisions to planned projects or actions, or removal of planned projects or actions.</w:t>
      </w:r>
      <w:r w:rsidR="00EE5BC9">
        <w:t xml:space="preserve">  (See Recommendation 3 below)</w:t>
      </w:r>
    </w:p>
    <w:p w14:paraId="39FEF52C" w14:textId="780FBDC8" w:rsidR="00EF0315" w:rsidRDefault="00EF0315" w:rsidP="00EF0315">
      <w:r>
        <w:t>Table 2 summarizes the entities responsible for carrying out this recommendation and associated funding needs.</w:t>
      </w:r>
    </w:p>
    <w:p w14:paraId="3F7AD6F4" w14:textId="1725C6DD" w:rsidR="00142E3C" w:rsidRPr="00142E3C" w:rsidRDefault="00142E3C" w:rsidP="00142E3C">
      <w:pPr>
        <w:spacing w:after="0"/>
        <w:rPr>
          <w:i/>
          <w:iCs/>
        </w:rPr>
      </w:pPr>
      <w:r w:rsidRPr="00CC18F4">
        <w:rPr>
          <w:i/>
          <w:iCs/>
        </w:rPr>
        <w:t xml:space="preserve">Table </w:t>
      </w:r>
      <w:r>
        <w:rPr>
          <w:i/>
          <w:iCs/>
        </w:rPr>
        <w:t>2</w:t>
      </w:r>
      <w:r w:rsidRPr="00CC18F4">
        <w:rPr>
          <w:i/>
          <w:iCs/>
        </w:rPr>
        <w:t xml:space="preserve">: Implementation of </w:t>
      </w:r>
      <w:r>
        <w:rPr>
          <w:i/>
          <w:iCs/>
        </w:rPr>
        <w:t>Reporting</w:t>
      </w:r>
      <w:r w:rsidRPr="00CC18F4">
        <w:rPr>
          <w:i/>
          <w:iCs/>
        </w:rPr>
        <w:t xml:space="preserve"> Recommendation</w:t>
      </w:r>
    </w:p>
    <w:tbl>
      <w:tblPr>
        <w:tblStyle w:val="TableGrid"/>
        <w:tblW w:w="9535" w:type="dxa"/>
        <w:tblLook w:val="04A0" w:firstRow="1" w:lastRow="0" w:firstColumn="1" w:lastColumn="0" w:noHBand="0" w:noVBand="1"/>
      </w:tblPr>
      <w:tblGrid>
        <w:gridCol w:w="3145"/>
        <w:gridCol w:w="3060"/>
        <w:gridCol w:w="3330"/>
      </w:tblGrid>
      <w:tr w:rsidR="00142E3C" w14:paraId="271D7F5F" w14:textId="77777777" w:rsidTr="00CE77E8">
        <w:tc>
          <w:tcPr>
            <w:tcW w:w="3145" w:type="dxa"/>
            <w:shd w:val="clear" w:color="auto" w:fill="D0CECE" w:themeFill="background2" w:themeFillShade="E6"/>
          </w:tcPr>
          <w:p w14:paraId="243026E8" w14:textId="77777777" w:rsidR="00142E3C" w:rsidRDefault="00142E3C" w:rsidP="00CE77E8">
            <w:pPr>
              <w:pStyle w:val="Heading3"/>
              <w:outlineLvl w:val="2"/>
            </w:pPr>
            <w:r>
              <w:t>Action</w:t>
            </w:r>
          </w:p>
        </w:tc>
        <w:tc>
          <w:tcPr>
            <w:tcW w:w="3060" w:type="dxa"/>
            <w:shd w:val="clear" w:color="auto" w:fill="D0CECE" w:themeFill="background2" w:themeFillShade="E6"/>
          </w:tcPr>
          <w:p w14:paraId="66514D2C" w14:textId="77777777" w:rsidR="00142E3C" w:rsidRDefault="00142E3C" w:rsidP="00CE77E8">
            <w:pPr>
              <w:pStyle w:val="Heading3"/>
              <w:outlineLvl w:val="2"/>
            </w:pPr>
            <w:r>
              <w:t>Entity or Entities Responsible</w:t>
            </w:r>
          </w:p>
        </w:tc>
        <w:tc>
          <w:tcPr>
            <w:tcW w:w="3330" w:type="dxa"/>
            <w:shd w:val="clear" w:color="auto" w:fill="D0CECE" w:themeFill="background2" w:themeFillShade="E6"/>
          </w:tcPr>
          <w:p w14:paraId="580A8858" w14:textId="77777777" w:rsidR="00142E3C" w:rsidRDefault="00142E3C" w:rsidP="00CE77E8">
            <w:pPr>
              <w:pStyle w:val="Heading3"/>
              <w:outlineLvl w:val="2"/>
            </w:pPr>
            <w:r>
              <w:t>Funding Considerations</w:t>
            </w:r>
          </w:p>
        </w:tc>
      </w:tr>
      <w:tr w:rsidR="00C52FC7" w:rsidRPr="005A5973" w14:paraId="11430425" w14:textId="77777777" w:rsidTr="00142E3C">
        <w:tc>
          <w:tcPr>
            <w:tcW w:w="3145" w:type="dxa"/>
          </w:tcPr>
          <w:p w14:paraId="39D81426" w14:textId="0EF0ACBA" w:rsidR="00C52FC7" w:rsidRPr="007328CA" w:rsidRDefault="00C52FC7" w:rsidP="00C52FC7">
            <w:pPr>
              <w:rPr>
                <w:b/>
                <w:bCs/>
                <w:sz w:val="20"/>
                <w:szCs w:val="20"/>
              </w:rPr>
            </w:pPr>
            <w:r w:rsidRPr="007328CA">
              <w:rPr>
                <w:b/>
                <w:bCs/>
                <w:sz w:val="20"/>
                <w:szCs w:val="20"/>
              </w:rPr>
              <w:t>Annual Report</w:t>
            </w:r>
            <w:r>
              <w:rPr>
                <w:b/>
                <w:bCs/>
                <w:sz w:val="20"/>
                <w:szCs w:val="20"/>
              </w:rPr>
              <w:t>s</w:t>
            </w:r>
            <w:r w:rsidRPr="007328CA">
              <w:rPr>
                <w:b/>
                <w:bCs/>
                <w:sz w:val="20"/>
                <w:szCs w:val="20"/>
              </w:rPr>
              <w:t xml:space="preserve"> </w:t>
            </w:r>
          </w:p>
          <w:p w14:paraId="377AD7E3" w14:textId="77777777" w:rsidR="00C52FC7" w:rsidRDefault="00C52FC7" w:rsidP="00C52FC7">
            <w:pPr>
              <w:rPr>
                <w:sz w:val="20"/>
                <w:szCs w:val="20"/>
              </w:rPr>
            </w:pPr>
          </w:p>
          <w:p w14:paraId="7EB8FE53" w14:textId="77777777" w:rsidR="00C52FC7" w:rsidRPr="007328CA" w:rsidRDefault="00C52FC7" w:rsidP="00C52FC7">
            <w:pPr>
              <w:rPr>
                <w:sz w:val="20"/>
                <w:szCs w:val="20"/>
              </w:rPr>
            </w:pPr>
          </w:p>
        </w:tc>
        <w:tc>
          <w:tcPr>
            <w:tcW w:w="3060" w:type="dxa"/>
          </w:tcPr>
          <w:p w14:paraId="3AE4DB46" w14:textId="77777777" w:rsidR="00C52FC7" w:rsidRPr="005F3DD7" w:rsidRDefault="00C52FC7" w:rsidP="00C52FC7">
            <w:pPr>
              <w:pStyle w:val="ListParagraph"/>
              <w:numPr>
                <w:ilvl w:val="0"/>
                <w:numId w:val="3"/>
              </w:numPr>
              <w:ind w:left="166" w:hanging="166"/>
              <w:rPr>
                <w:sz w:val="20"/>
                <w:szCs w:val="20"/>
              </w:rPr>
            </w:pPr>
            <w:r w:rsidRPr="005F3DD7">
              <w:rPr>
                <w:sz w:val="20"/>
                <w:szCs w:val="20"/>
              </w:rPr>
              <w:t>Counties compile information into a single report.</w:t>
            </w:r>
          </w:p>
          <w:p w14:paraId="78BCDED9" w14:textId="77777777" w:rsidR="00C52FC7" w:rsidRDefault="00C52FC7" w:rsidP="00C52FC7">
            <w:pPr>
              <w:pStyle w:val="ListParagraph"/>
              <w:numPr>
                <w:ilvl w:val="0"/>
                <w:numId w:val="3"/>
              </w:numPr>
              <w:ind w:left="166" w:hanging="166"/>
              <w:rPr>
                <w:sz w:val="20"/>
                <w:szCs w:val="20"/>
              </w:rPr>
            </w:pPr>
            <w:r w:rsidRPr="005F3DD7">
              <w:rPr>
                <w:sz w:val="20"/>
                <w:szCs w:val="20"/>
              </w:rPr>
              <w:t>WDFW provides information on project status, drawn from the Salmon Recovery Portal</w:t>
            </w:r>
          </w:p>
          <w:p w14:paraId="00BE238C" w14:textId="77777777" w:rsidR="00C52FC7" w:rsidRPr="005F3DD7" w:rsidRDefault="00C52FC7" w:rsidP="00C52FC7">
            <w:pPr>
              <w:pStyle w:val="ListParagraph"/>
              <w:numPr>
                <w:ilvl w:val="0"/>
                <w:numId w:val="3"/>
              </w:numPr>
              <w:ind w:left="166" w:hanging="166"/>
              <w:rPr>
                <w:sz w:val="20"/>
                <w:szCs w:val="20"/>
              </w:rPr>
            </w:pPr>
            <w:r>
              <w:rPr>
                <w:sz w:val="20"/>
                <w:szCs w:val="20"/>
              </w:rPr>
              <w:t>Ecology compiles information into a single report for distribution to WREC and other interested persons.</w:t>
            </w:r>
          </w:p>
          <w:p w14:paraId="1A01A559" w14:textId="527EF9C5" w:rsidR="00C52FC7" w:rsidRPr="005A5973" w:rsidRDefault="00C52FC7" w:rsidP="00C52FC7">
            <w:pPr>
              <w:rPr>
                <w:sz w:val="20"/>
                <w:szCs w:val="20"/>
              </w:rPr>
            </w:pPr>
          </w:p>
        </w:tc>
        <w:tc>
          <w:tcPr>
            <w:tcW w:w="3330" w:type="dxa"/>
          </w:tcPr>
          <w:p w14:paraId="196656F4" w14:textId="068FF077" w:rsidR="00C52FC7" w:rsidRDefault="00C52FC7" w:rsidP="00C52FC7">
            <w:pPr>
              <w:pStyle w:val="ListParagraph"/>
              <w:numPr>
                <w:ilvl w:val="0"/>
                <w:numId w:val="3"/>
              </w:numPr>
              <w:ind w:left="166" w:hanging="166"/>
              <w:rPr>
                <w:sz w:val="20"/>
                <w:szCs w:val="20"/>
              </w:rPr>
            </w:pPr>
            <w:commentRangeStart w:id="7"/>
            <w:r>
              <w:rPr>
                <w:sz w:val="20"/>
                <w:szCs w:val="20"/>
              </w:rPr>
              <w:t>Counties would prepare reports using existing resources.</w:t>
            </w:r>
            <w:commentRangeEnd w:id="7"/>
            <w:r w:rsidRPr="00EE5BC9">
              <w:rPr>
                <w:sz w:val="20"/>
                <w:szCs w:val="20"/>
              </w:rPr>
              <w:commentReference w:id="7"/>
            </w:r>
          </w:p>
          <w:p w14:paraId="06227EC0" w14:textId="77777777" w:rsidR="00C52FC7" w:rsidRDefault="00C52FC7" w:rsidP="00C52FC7">
            <w:pPr>
              <w:pStyle w:val="ListParagraph"/>
              <w:numPr>
                <w:ilvl w:val="0"/>
                <w:numId w:val="3"/>
              </w:numPr>
              <w:ind w:left="166" w:hanging="166"/>
              <w:rPr>
                <w:sz w:val="20"/>
                <w:szCs w:val="20"/>
              </w:rPr>
            </w:pPr>
            <w:r>
              <w:rPr>
                <w:sz w:val="20"/>
                <w:szCs w:val="20"/>
              </w:rPr>
              <w:t>Ecology staff would compile reports using existing resources.</w:t>
            </w:r>
          </w:p>
          <w:p w14:paraId="74653BE3" w14:textId="77777777" w:rsidR="00C52FC7" w:rsidRDefault="00C52FC7" w:rsidP="00C52FC7">
            <w:pPr>
              <w:pStyle w:val="ListParagraph"/>
              <w:numPr>
                <w:ilvl w:val="0"/>
                <w:numId w:val="3"/>
              </w:numPr>
              <w:ind w:left="166" w:hanging="166"/>
              <w:rPr>
                <w:sz w:val="20"/>
                <w:szCs w:val="20"/>
              </w:rPr>
            </w:pPr>
            <w:r>
              <w:rPr>
                <w:sz w:val="20"/>
                <w:szCs w:val="20"/>
              </w:rPr>
              <w:t>WDFW may need additional funds to manage the Salmon Recovery Portal.</w:t>
            </w:r>
          </w:p>
          <w:p w14:paraId="4C311016" w14:textId="6F004018" w:rsidR="00C52FC7" w:rsidRPr="005A5973" w:rsidRDefault="00C52FC7" w:rsidP="00C52FC7">
            <w:pPr>
              <w:rPr>
                <w:sz w:val="20"/>
                <w:szCs w:val="20"/>
              </w:rPr>
            </w:pPr>
          </w:p>
        </w:tc>
      </w:tr>
      <w:tr w:rsidR="00142E3C" w:rsidRPr="005A5973" w14:paraId="3275F7AE" w14:textId="77777777" w:rsidTr="00C52FC7">
        <w:trPr>
          <w:trHeight w:val="70"/>
        </w:trPr>
        <w:tc>
          <w:tcPr>
            <w:tcW w:w="3145" w:type="dxa"/>
          </w:tcPr>
          <w:p w14:paraId="0B3E778D" w14:textId="1C848B8B" w:rsidR="00142E3C" w:rsidRPr="005A5973" w:rsidRDefault="00142E3C" w:rsidP="00EF0315">
            <w:pPr>
              <w:rPr>
                <w:sz w:val="20"/>
                <w:szCs w:val="20"/>
              </w:rPr>
            </w:pPr>
            <w:r w:rsidRPr="007328CA">
              <w:rPr>
                <w:b/>
                <w:bCs/>
                <w:sz w:val="20"/>
                <w:szCs w:val="20"/>
              </w:rPr>
              <w:t xml:space="preserve">Five-Year Self-Assessment: </w:t>
            </w:r>
          </w:p>
        </w:tc>
        <w:tc>
          <w:tcPr>
            <w:tcW w:w="3060" w:type="dxa"/>
          </w:tcPr>
          <w:p w14:paraId="59AF6429" w14:textId="77777777" w:rsidR="00142E3C" w:rsidRDefault="00EE5BC9" w:rsidP="00EE5BC9">
            <w:pPr>
              <w:pStyle w:val="ListParagraph"/>
              <w:numPr>
                <w:ilvl w:val="0"/>
                <w:numId w:val="3"/>
              </w:numPr>
              <w:ind w:left="166" w:hanging="166"/>
              <w:rPr>
                <w:sz w:val="20"/>
                <w:szCs w:val="20"/>
              </w:rPr>
            </w:pPr>
            <w:r>
              <w:rPr>
                <w:sz w:val="20"/>
                <w:szCs w:val="20"/>
              </w:rPr>
              <w:t>Counties prepare initial report.</w:t>
            </w:r>
          </w:p>
          <w:p w14:paraId="17E96F4E" w14:textId="5B08BA81" w:rsidR="00C52FC7" w:rsidRPr="005F3DD7" w:rsidRDefault="00C52FC7" w:rsidP="00C52FC7">
            <w:pPr>
              <w:pStyle w:val="ListParagraph"/>
              <w:numPr>
                <w:ilvl w:val="0"/>
                <w:numId w:val="3"/>
              </w:numPr>
              <w:spacing w:after="160" w:line="259" w:lineRule="auto"/>
              <w:ind w:left="166" w:hanging="166"/>
              <w:rPr>
                <w:sz w:val="20"/>
                <w:szCs w:val="20"/>
              </w:rPr>
            </w:pPr>
            <w:r>
              <w:rPr>
                <w:sz w:val="20"/>
                <w:szCs w:val="20"/>
              </w:rPr>
              <w:t>Ecology compiles information into a single report for distribution to WREC and other interested persons.</w:t>
            </w:r>
          </w:p>
          <w:p w14:paraId="767D1730" w14:textId="696732E8" w:rsidR="00EE5BC9" w:rsidRPr="005A5973" w:rsidRDefault="00EE5BC9" w:rsidP="00EE5BC9">
            <w:pPr>
              <w:pStyle w:val="ListParagraph"/>
              <w:numPr>
                <w:ilvl w:val="0"/>
                <w:numId w:val="3"/>
              </w:numPr>
              <w:ind w:left="166" w:hanging="166"/>
              <w:rPr>
                <w:sz w:val="20"/>
                <w:szCs w:val="20"/>
              </w:rPr>
            </w:pPr>
            <w:r>
              <w:rPr>
                <w:sz w:val="20"/>
                <w:szCs w:val="20"/>
              </w:rPr>
              <w:t>WREC convenes to prepare recommendations (See Recommendation 3 below)</w:t>
            </w:r>
          </w:p>
        </w:tc>
        <w:tc>
          <w:tcPr>
            <w:tcW w:w="3330" w:type="dxa"/>
          </w:tcPr>
          <w:p w14:paraId="6E6F604E" w14:textId="77777777" w:rsidR="00142E3C" w:rsidRDefault="00EE5BC9" w:rsidP="00EE5BC9">
            <w:pPr>
              <w:pStyle w:val="ListParagraph"/>
              <w:numPr>
                <w:ilvl w:val="0"/>
                <w:numId w:val="3"/>
              </w:numPr>
              <w:ind w:left="166" w:hanging="166"/>
              <w:rPr>
                <w:sz w:val="20"/>
                <w:szCs w:val="20"/>
              </w:rPr>
            </w:pPr>
            <w:r>
              <w:rPr>
                <w:sz w:val="20"/>
                <w:szCs w:val="20"/>
              </w:rPr>
              <w:t>Counties may need funding to complete the estimate of benefits realized.</w:t>
            </w:r>
          </w:p>
          <w:p w14:paraId="020B57AA" w14:textId="396860B5" w:rsidR="00EE5BC9" w:rsidRDefault="00EE5BC9" w:rsidP="00EE5BC9">
            <w:pPr>
              <w:pStyle w:val="ListParagraph"/>
              <w:numPr>
                <w:ilvl w:val="0"/>
                <w:numId w:val="3"/>
              </w:numPr>
              <w:ind w:left="166" w:hanging="166"/>
              <w:rPr>
                <w:sz w:val="20"/>
                <w:szCs w:val="20"/>
              </w:rPr>
            </w:pPr>
            <w:r>
              <w:rPr>
                <w:sz w:val="20"/>
                <w:szCs w:val="20"/>
              </w:rPr>
              <w:t>State funding or staff support will be needed to reconvene the WREC. (See Recommendation 3 below)</w:t>
            </w:r>
          </w:p>
          <w:p w14:paraId="47DADDA6" w14:textId="43E6A316" w:rsidR="00EE5BC9" w:rsidRPr="005A5973" w:rsidRDefault="00EE5BC9" w:rsidP="00EE5BC9">
            <w:pPr>
              <w:pStyle w:val="ListParagraph"/>
              <w:ind w:left="166"/>
              <w:rPr>
                <w:sz w:val="20"/>
                <w:szCs w:val="20"/>
              </w:rPr>
            </w:pPr>
          </w:p>
        </w:tc>
      </w:tr>
    </w:tbl>
    <w:p w14:paraId="01C0798F" w14:textId="761EB349" w:rsidR="00142E3C" w:rsidRDefault="00142E3C" w:rsidP="00142E3C"/>
    <w:p w14:paraId="12D0EA03" w14:textId="385C6DAE" w:rsidR="00EE5BC9" w:rsidRDefault="00EE5BC9" w:rsidP="00EE5BC9">
      <w:pPr>
        <w:pStyle w:val="Heading2"/>
        <w:numPr>
          <w:ilvl w:val="0"/>
          <w:numId w:val="2"/>
        </w:numPr>
      </w:pPr>
      <w:r>
        <w:t>Oversight and Adaptation</w:t>
      </w:r>
    </w:p>
    <w:p w14:paraId="4CE88081" w14:textId="403AC176" w:rsidR="00EE5BC9" w:rsidRDefault="00EE5BC9" w:rsidP="00881A6A">
      <w:pPr>
        <w:spacing w:after="0"/>
      </w:pPr>
      <w:r>
        <w:t xml:space="preserve">The WREC believes it is essential to have a group of engaged stakeholders to continue to collaborate on the implementation of this plan.  </w:t>
      </w:r>
      <w:r w:rsidR="00881A6A">
        <w:t>The WRIA 14 WREC recommends that the WREC be continued, with staff support from Ecology and ongoing financial support from the state.  The WREC would be responsible for:</w:t>
      </w:r>
    </w:p>
    <w:p w14:paraId="291CAB07" w14:textId="5610756C" w:rsidR="00881A6A" w:rsidRDefault="00881A6A" w:rsidP="00881A6A">
      <w:pPr>
        <w:pStyle w:val="ListParagraph"/>
        <w:numPr>
          <w:ilvl w:val="0"/>
          <w:numId w:val="28"/>
        </w:numPr>
      </w:pPr>
      <w:r>
        <w:t>Meeting regularly and coordinating on efficient implementation of the plan.</w:t>
      </w:r>
    </w:p>
    <w:p w14:paraId="275DF907" w14:textId="4E57C6B0" w:rsidR="00881A6A" w:rsidRDefault="00881A6A" w:rsidP="00881A6A">
      <w:pPr>
        <w:pStyle w:val="ListParagraph"/>
        <w:numPr>
          <w:ilvl w:val="0"/>
          <w:numId w:val="28"/>
        </w:numPr>
      </w:pPr>
      <w:r>
        <w:t>Reviewing annual reports.</w:t>
      </w:r>
    </w:p>
    <w:p w14:paraId="186E2DC6" w14:textId="4BFEAFE3" w:rsidR="00881A6A" w:rsidRDefault="00881A6A" w:rsidP="00881A6A">
      <w:pPr>
        <w:pStyle w:val="ListParagraph"/>
        <w:numPr>
          <w:ilvl w:val="0"/>
          <w:numId w:val="28"/>
        </w:numPr>
      </w:pPr>
      <w:r>
        <w:t>Preparing recommendations as part of the five-year self-assessment (see Recommendation 2 above)</w:t>
      </w:r>
    </w:p>
    <w:p w14:paraId="4E3AE567" w14:textId="5012C819" w:rsidR="008F2802" w:rsidRDefault="008F2802" w:rsidP="008F2802">
      <w:r>
        <w:t>Table 3 summarizes the entities responsible for carrying out this recommendation and associated funding needs.</w:t>
      </w:r>
    </w:p>
    <w:p w14:paraId="447F6E91" w14:textId="4832D667" w:rsidR="008F2802" w:rsidRPr="008F2802" w:rsidRDefault="008F2802" w:rsidP="00C52FC7">
      <w:pPr>
        <w:keepNext/>
        <w:spacing w:after="0"/>
        <w:rPr>
          <w:i/>
          <w:iCs/>
        </w:rPr>
      </w:pPr>
      <w:r w:rsidRPr="008F2802">
        <w:rPr>
          <w:i/>
          <w:iCs/>
        </w:rPr>
        <w:lastRenderedPageBreak/>
        <w:t xml:space="preserve">Table </w:t>
      </w:r>
      <w:r>
        <w:rPr>
          <w:i/>
          <w:iCs/>
        </w:rPr>
        <w:t>3</w:t>
      </w:r>
      <w:r w:rsidRPr="008F2802">
        <w:rPr>
          <w:i/>
          <w:iCs/>
        </w:rPr>
        <w:t xml:space="preserve">: Implementation of </w:t>
      </w:r>
      <w:r>
        <w:rPr>
          <w:i/>
          <w:iCs/>
        </w:rPr>
        <w:t xml:space="preserve">Oversight and Adaptation </w:t>
      </w:r>
      <w:r w:rsidRPr="008F2802">
        <w:rPr>
          <w:i/>
          <w:iCs/>
        </w:rPr>
        <w:t>Recommendation</w:t>
      </w:r>
    </w:p>
    <w:tbl>
      <w:tblPr>
        <w:tblStyle w:val="TableGrid"/>
        <w:tblW w:w="9535" w:type="dxa"/>
        <w:tblLook w:val="04A0" w:firstRow="1" w:lastRow="0" w:firstColumn="1" w:lastColumn="0" w:noHBand="0" w:noVBand="1"/>
      </w:tblPr>
      <w:tblGrid>
        <w:gridCol w:w="3145"/>
        <w:gridCol w:w="3060"/>
        <w:gridCol w:w="3330"/>
      </w:tblGrid>
      <w:tr w:rsidR="00EE5BC9" w14:paraId="2A1396B5" w14:textId="77777777" w:rsidTr="00396ACB">
        <w:tc>
          <w:tcPr>
            <w:tcW w:w="3145" w:type="dxa"/>
            <w:shd w:val="clear" w:color="auto" w:fill="D0CECE" w:themeFill="background2" w:themeFillShade="E6"/>
          </w:tcPr>
          <w:p w14:paraId="501DBF69" w14:textId="77777777" w:rsidR="00EE5BC9" w:rsidRDefault="00EE5BC9" w:rsidP="00396ACB">
            <w:pPr>
              <w:pStyle w:val="Heading3"/>
              <w:outlineLvl w:val="2"/>
            </w:pPr>
            <w:r>
              <w:t>Action</w:t>
            </w:r>
          </w:p>
        </w:tc>
        <w:tc>
          <w:tcPr>
            <w:tcW w:w="3060" w:type="dxa"/>
            <w:shd w:val="clear" w:color="auto" w:fill="D0CECE" w:themeFill="background2" w:themeFillShade="E6"/>
          </w:tcPr>
          <w:p w14:paraId="2045013A" w14:textId="77777777" w:rsidR="00EE5BC9" w:rsidRDefault="00EE5BC9" w:rsidP="00396ACB">
            <w:pPr>
              <w:pStyle w:val="Heading3"/>
              <w:outlineLvl w:val="2"/>
            </w:pPr>
            <w:r>
              <w:t>Entity or Entities Responsible</w:t>
            </w:r>
          </w:p>
        </w:tc>
        <w:tc>
          <w:tcPr>
            <w:tcW w:w="3330" w:type="dxa"/>
            <w:shd w:val="clear" w:color="auto" w:fill="D0CECE" w:themeFill="background2" w:themeFillShade="E6"/>
          </w:tcPr>
          <w:p w14:paraId="124CDEFF" w14:textId="77777777" w:rsidR="00EE5BC9" w:rsidRDefault="00EE5BC9" w:rsidP="00396ACB">
            <w:pPr>
              <w:pStyle w:val="Heading3"/>
              <w:outlineLvl w:val="2"/>
            </w:pPr>
            <w:r>
              <w:t>Funding Considerations</w:t>
            </w:r>
          </w:p>
        </w:tc>
      </w:tr>
      <w:tr w:rsidR="00EE5BC9" w:rsidRPr="005A5973" w14:paraId="76538645" w14:textId="77777777" w:rsidTr="00396ACB">
        <w:tc>
          <w:tcPr>
            <w:tcW w:w="3145" w:type="dxa"/>
          </w:tcPr>
          <w:p w14:paraId="4F6D8305" w14:textId="62B6031E" w:rsidR="00EE5BC9" w:rsidRDefault="00881A6A" w:rsidP="00396ACB">
            <w:pPr>
              <w:rPr>
                <w:sz w:val="20"/>
                <w:szCs w:val="20"/>
              </w:rPr>
            </w:pPr>
            <w:r>
              <w:rPr>
                <w:b/>
                <w:bCs/>
                <w:sz w:val="20"/>
                <w:szCs w:val="20"/>
              </w:rPr>
              <w:t>Continuation of WREC</w:t>
            </w:r>
          </w:p>
          <w:p w14:paraId="37484603" w14:textId="77777777" w:rsidR="00EE5BC9" w:rsidRPr="007328CA" w:rsidRDefault="00EE5BC9" w:rsidP="00396ACB">
            <w:pPr>
              <w:rPr>
                <w:sz w:val="20"/>
                <w:szCs w:val="20"/>
              </w:rPr>
            </w:pPr>
          </w:p>
        </w:tc>
        <w:tc>
          <w:tcPr>
            <w:tcW w:w="3060" w:type="dxa"/>
          </w:tcPr>
          <w:p w14:paraId="632AAB9E" w14:textId="6E448276" w:rsidR="00EE5BC9" w:rsidRDefault="00881A6A" w:rsidP="00396ACB">
            <w:pPr>
              <w:pStyle w:val="ListParagraph"/>
              <w:numPr>
                <w:ilvl w:val="0"/>
                <w:numId w:val="3"/>
              </w:numPr>
              <w:ind w:left="166" w:hanging="166"/>
              <w:rPr>
                <w:sz w:val="20"/>
                <w:szCs w:val="20"/>
              </w:rPr>
            </w:pPr>
            <w:r>
              <w:rPr>
                <w:sz w:val="20"/>
                <w:szCs w:val="20"/>
              </w:rPr>
              <w:t>Ecology provides staff support</w:t>
            </w:r>
          </w:p>
          <w:p w14:paraId="7AF6CF9E" w14:textId="16C229BE" w:rsidR="00881A6A" w:rsidRPr="00881A6A" w:rsidRDefault="00881A6A" w:rsidP="00881A6A">
            <w:pPr>
              <w:pStyle w:val="ListParagraph"/>
              <w:numPr>
                <w:ilvl w:val="0"/>
                <w:numId w:val="3"/>
              </w:numPr>
              <w:ind w:left="166" w:hanging="166"/>
              <w:rPr>
                <w:sz w:val="20"/>
                <w:szCs w:val="20"/>
              </w:rPr>
            </w:pPr>
            <w:r>
              <w:rPr>
                <w:sz w:val="20"/>
                <w:szCs w:val="20"/>
              </w:rPr>
              <w:t xml:space="preserve">WREC members continue to participate </w:t>
            </w:r>
          </w:p>
          <w:p w14:paraId="7706B8AB" w14:textId="77777777" w:rsidR="00EE5BC9" w:rsidRPr="005A5973" w:rsidRDefault="00EE5BC9" w:rsidP="00396ACB">
            <w:pPr>
              <w:rPr>
                <w:sz w:val="20"/>
                <w:szCs w:val="20"/>
              </w:rPr>
            </w:pPr>
          </w:p>
        </w:tc>
        <w:tc>
          <w:tcPr>
            <w:tcW w:w="3330" w:type="dxa"/>
          </w:tcPr>
          <w:p w14:paraId="62F4DCDF" w14:textId="17F0FAAD" w:rsidR="00EE5BC9" w:rsidRDefault="00881A6A" w:rsidP="00396ACB">
            <w:pPr>
              <w:pStyle w:val="ListParagraph"/>
              <w:numPr>
                <w:ilvl w:val="0"/>
                <w:numId w:val="3"/>
              </w:numPr>
              <w:ind w:left="166" w:hanging="166"/>
              <w:rPr>
                <w:sz w:val="20"/>
                <w:szCs w:val="20"/>
              </w:rPr>
            </w:pPr>
            <w:r>
              <w:rPr>
                <w:sz w:val="20"/>
                <w:szCs w:val="20"/>
              </w:rPr>
              <w:t>Ecology will provide staff support with existing resources.</w:t>
            </w:r>
          </w:p>
          <w:p w14:paraId="12CD813D" w14:textId="779FAF47" w:rsidR="00881A6A" w:rsidRDefault="00881A6A" w:rsidP="00396ACB">
            <w:pPr>
              <w:pStyle w:val="ListParagraph"/>
              <w:numPr>
                <w:ilvl w:val="0"/>
                <w:numId w:val="3"/>
              </w:numPr>
              <w:ind w:left="166" w:hanging="166"/>
              <w:rPr>
                <w:sz w:val="20"/>
                <w:szCs w:val="20"/>
              </w:rPr>
            </w:pPr>
            <w:r>
              <w:rPr>
                <w:sz w:val="20"/>
                <w:szCs w:val="20"/>
              </w:rPr>
              <w:t>WREC members will continue to participate without compensation.</w:t>
            </w:r>
          </w:p>
          <w:p w14:paraId="44143486" w14:textId="05B6C7BC" w:rsidR="00881A6A" w:rsidRDefault="00881A6A" w:rsidP="00396ACB">
            <w:pPr>
              <w:pStyle w:val="ListParagraph"/>
              <w:numPr>
                <w:ilvl w:val="0"/>
                <w:numId w:val="3"/>
              </w:numPr>
              <w:ind w:left="166" w:hanging="166"/>
              <w:rPr>
                <w:sz w:val="20"/>
                <w:szCs w:val="20"/>
              </w:rPr>
            </w:pPr>
            <w:r>
              <w:rPr>
                <w:sz w:val="20"/>
                <w:szCs w:val="20"/>
              </w:rPr>
              <w:t>Additional state funding may be needed for technical work, facilitation, or other actions to support adaptive management (see Recommendation 4 below)</w:t>
            </w:r>
          </w:p>
          <w:p w14:paraId="66CA34AC" w14:textId="77777777" w:rsidR="00EE5BC9" w:rsidRPr="005A5973" w:rsidRDefault="00EE5BC9" w:rsidP="00396ACB">
            <w:pPr>
              <w:rPr>
                <w:sz w:val="20"/>
                <w:szCs w:val="20"/>
              </w:rPr>
            </w:pPr>
          </w:p>
        </w:tc>
      </w:tr>
    </w:tbl>
    <w:p w14:paraId="0D563C5D" w14:textId="50192B4C" w:rsidR="00EE5BC9" w:rsidRDefault="00EE5BC9">
      <w:pPr>
        <w:rPr>
          <w:rFonts w:asciiTheme="majorHAnsi" w:eastAsiaTheme="majorEastAsia" w:hAnsiTheme="majorHAnsi" w:cstheme="majorBidi"/>
          <w:color w:val="1F4D78" w:themeColor="accent1" w:themeShade="7F"/>
          <w:sz w:val="24"/>
          <w:szCs w:val="24"/>
          <w:highlight w:val="yellow"/>
        </w:rPr>
      </w:pPr>
    </w:p>
    <w:p w14:paraId="027F414C" w14:textId="77777777" w:rsidR="00881A6A" w:rsidRDefault="00881A6A" w:rsidP="00881A6A">
      <w:pPr>
        <w:pStyle w:val="Heading2"/>
        <w:numPr>
          <w:ilvl w:val="0"/>
          <w:numId w:val="2"/>
        </w:numPr>
      </w:pPr>
      <w:r w:rsidRPr="00881A6A">
        <w:t xml:space="preserve">Funding </w:t>
      </w:r>
    </w:p>
    <w:p w14:paraId="65C25E2D" w14:textId="77F6F949" w:rsidR="008F2802" w:rsidRPr="008F2802" w:rsidRDefault="00881A6A" w:rsidP="008F2802">
      <w:pPr>
        <w:spacing w:after="0"/>
      </w:pPr>
      <w:r>
        <w:t>The</w:t>
      </w:r>
      <w:r w:rsidR="008F2802">
        <w:t xml:space="preserve"> WREC believes that it is essential that the state’s investment in WRE plans would be imperiled if ongoing oversight of implementation is not formally continued, including a process to adaptively manage the plan as new information emerges.  </w:t>
      </w:r>
      <w:r w:rsidR="008F2802" w:rsidRPr="008F2802">
        <w:t xml:space="preserve">The WRIA 14 </w:t>
      </w:r>
      <w:r w:rsidR="008F2802">
        <w:t>WREC</w:t>
      </w:r>
      <w:r w:rsidR="008F2802" w:rsidRPr="008F2802">
        <w:t xml:space="preserve"> recommends that the legislature provide funding and a structure to monitor plan implementation (including annual tracking of new permit-exempt wells and project implementation by subbasin) and develop a process to adaptively manage implementation if Net Ecological Benefit is not being met as envisioned by the Watershed Restoration and Enhancement Plan</w:t>
      </w:r>
      <w:r w:rsidR="008F2802">
        <w:t>.</w:t>
      </w:r>
    </w:p>
    <w:p w14:paraId="333DF801" w14:textId="77777777" w:rsidR="008F2802" w:rsidRDefault="008F2802" w:rsidP="008F2802"/>
    <w:p w14:paraId="002DB990" w14:textId="60F4CFE8" w:rsidR="008F2802" w:rsidRDefault="008F2802" w:rsidP="008F2802">
      <w:r>
        <w:t>Table 4 summarizes the entities responsible for carrying out this recommendation and associated funding needs.</w:t>
      </w:r>
    </w:p>
    <w:p w14:paraId="7534682E" w14:textId="07AEF73E" w:rsidR="008F2802" w:rsidRPr="008F2802" w:rsidRDefault="008F2802" w:rsidP="008F2802">
      <w:pPr>
        <w:spacing w:after="0"/>
        <w:rPr>
          <w:i/>
          <w:iCs/>
        </w:rPr>
      </w:pPr>
      <w:r w:rsidRPr="008F2802">
        <w:rPr>
          <w:i/>
          <w:iCs/>
        </w:rPr>
        <w:t xml:space="preserve">Table </w:t>
      </w:r>
      <w:r>
        <w:rPr>
          <w:i/>
          <w:iCs/>
        </w:rPr>
        <w:t>4</w:t>
      </w:r>
      <w:r w:rsidRPr="008F2802">
        <w:rPr>
          <w:i/>
          <w:iCs/>
        </w:rPr>
        <w:t xml:space="preserve">: </w:t>
      </w:r>
      <w:r>
        <w:rPr>
          <w:i/>
          <w:iCs/>
        </w:rPr>
        <w:t xml:space="preserve">Funding </w:t>
      </w:r>
      <w:r w:rsidRPr="008F2802">
        <w:rPr>
          <w:i/>
          <w:iCs/>
        </w:rPr>
        <w:t>Recommendation</w:t>
      </w:r>
    </w:p>
    <w:tbl>
      <w:tblPr>
        <w:tblStyle w:val="TableGrid"/>
        <w:tblW w:w="9535" w:type="dxa"/>
        <w:tblLook w:val="04A0" w:firstRow="1" w:lastRow="0" w:firstColumn="1" w:lastColumn="0" w:noHBand="0" w:noVBand="1"/>
      </w:tblPr>
      <w:tblGrid>
        <w:gridCol w:w="3145"/>
        <w:gridCol w:w="3060"/>
        <w:gridCol w:w="3330"/>
      </w:tblGrid>
      <w:tr w:rsidR="008F2802" w14:paraId="0874EBD2" w14:textId="77777777" w:rsidTr="00396ACB">
        <w:tc>
          <w:tcPr>
            <w:tcW w:w="3145" w:type="dxa"/>
            <w:shd w:val="clear" w:color="auto" w:fill="D0CECE" w:themeFill="background2" w:themeFillShade="E6"/>
          </w:tcPr>
          <w:p w14:paraId="5DC5D7E1" w14:textId="77777777" w:rsidR="008F2802" w:rsidRDefault="008F2802" w:rsidP="00396ACB">
            <w:pPr>
              <w:pStyle w:val="Heading3"/>
              <w:outlineLvl w:val="2"/>
            </w:pPr>
            <w:r>
              <w:t>Action</w:t>
            </w:r>
          </w:p>
        </w:tc>
        <w:tc>
          <w:tcPr>
            <w:tcW w:w="3060" w:type="dxa"/>
            <w:shd w:val="clear" w:color="auto" w:fill="D0CECE" w:themeFill="background2" w:themeFillShade="E6"/>
          </w:tcPr>
          <w:p w14:paraId="09F7B44C" w14:textId="77777777" w:rsidR="008F2802" w:rsidRDefault="008F2802" w:rsidP="00396ACB">
            <w:pPr>
              <w:pStyle w:val="Heading3"/>
              <w:outlineLvl w:val="2"/>
            </w:pPr>
            <w:r>
              <w:t>Entity or Entities Responsible</w:t>
            </w:r>
          </w:p>
        </w:tc>
        <w:tc>
          <w:tcPr>
            <w:tcW w:w="3330" w:type="dxa"/>
            <w:shd w:val="clear" w:color="auto" w:fill="D0CECE" w:themeFill="background2" w:themeFillShade="E6"/>
          </w:tcPr>
          <w:p w14:paraId="7ECC8E1D" w14:textId="77777777" w:rsidR="008F2802" w:rsidRDefault="008F2802" w:rsidP="00396ACB">
            <w:pPr>
              <w:pStyle w:val="Heading3"/>
              <w:outlineLvl w:val="2"/>
            </w:pPr>
            <w:r>
              <w:t>Funding Considerations</w:t>
            </w:r>
          </w:p>
        </w:tc>
      </w:tr>
      <w:tr w:rsidR="008F2802" w:rsidRPr="005A5973" w14:paraId="1A4A4FD6" w14:textId="77777777" w:rsidTr="00396ACB">
        <w:tc>
          <w:tcPr>
            <w:tcW w:w="3145" w:type="dxa"/>
          </w:tcPr>
          <w:p w14:paraId="33A30494" w14:textId="7C205561" w:rsidR="008F2802" w:rsidRDefault="008F2802" w:rsidP="008F2802">
            <w:pPr>
              <w:rPr>
                <w:sz w:val="20"/>
                <w:szCs w:val="20"/>
              </w:rPr>
            </w:pPr>
            <w:r>
              <w:rPr>
                <w:sz w:val="20"/>
                <w:szCs w:val="20"/>
              </w:rPr>
              <w:t>Funding of Adaptive Management</w:t>
            </w:r>
          </w:p>
          <w:p w14:paraId="60E53232" w14:textId="77777777" w:rsidR="008F2802" w:rsidRDefault="008F2802" w:rsidP="008F2802">
            <w:pPr>
              <w:rPr>
                <w:sz w:val="20"/>
                <w:szCs w:val="20"/>
              </w:rPr>
            </w:pPr>
          </w:p>
        </w:tc>
        <w:tc>
          <w:tcPr>
            <w:tcW w:w="3060" w:type="dxa"/>
          </w:tcPr>
          <w:p w14:paraId="093EAD7A" w14:textId="139E3EC9" w:rsidR="008F2802" w:rsidRPr="00881A6A" w:rsidRDefault="008F2802" w:rsidP="008F2802">
            <w:pPr>
              <w:pStyle w:val="ListParagraph"/>
              <w:numPr>
                <w:ilvl w:val="0"/>
                <w:numId w:val="3"/>
              </w:numPr>
              <w:ind w:left="166" w:hanging="166"/>
              <w:rPr>
                <w:sz w:val="20"/>
                <w:szCs w:val="20"/>
              </w:rPr>
            </w:pPr>
            <w:r>
              <w:rPr>
                <w:sz w:val="20"/>
                <w:szCs w:val="20"/>
              </w:rPr>
              <w:t>Legislature</w:t>
            </w:r>
          </w:p>
          <w:p w14:paraId="53C3896C" w14:textId="77777777" w:rsidR="008F2802" w:rsidRDefault="008F2802" w:rsidP="008F2802">
            <w:pPr>
              <w:pStyle w:val="ListParagraph"/>
              <w:ind w:left="166"/>
              <w:rPr>
                <w:sz w:val="20"/>
                <w:szCs w:val="20"/>
              </w:rPr>
            </w:pPr>
          </w:p>
        </w:tc>
        <w:tc>
          <w:tcPr>
            <w:tcW w:w="3330" w:type="dxa"/>
          </w:tcPr>
          <w:p w14:paraId="53490183" w14:textId="2518907D" w:rsidR="008F2802" w:rsidRPr="008F2802" w:rsidRDefault="008F2802" w:rsidP="008F2802">
            <w:pPr>
              <w:pStyle w:val="ListParagraph"/>
              <w:numPr>
                <w:ilvl w:val="0"/>
                <w:numId w:val="3"/>
              </w:numPr>
              <w:ind w:left="166" w:hanging="166"/>
              <w:rPr>
                <w:sz w:val="20"/>
                <w:szCs w:val="20"/>
              </w:rPr>
            </w:pPr>
            <w:r>
              <w:rPr>
                <w:sz w:val="20"/>
                <w:szCs w:val="20"/>
              </w:rPr>
              <w:t>The</w:t>
            </w:r>
            <w:r w:rsidRPr="008F2802">
              <w:rPr>
                <w:sz w:val="20"/>
                <w:szCs w:val="20"/>
              </w:rPr>
              <w:t xml:space="preserve"> legislature</w:t>
            </w:r>
            <w:r>
              <w:rPr>
                <w:sz w:val="20"/>
                <w:szCs w:val="20"/>
              </w:rPr>
              <w:t xml:space="preserve"> should</w:t>
            </w:r>
            <w:r w:rsidRPr="008F2802">
              <w:rPr>
                <w:sz w:val="20"/>
                <w:szCs w:val="20"/>
              </w:rPr>
              <w:t xml:space="preserve"> provide funding and a structure to monitor plan implementation and develop a process to adaptively manage implementation if Net Ecological Benefit is not being met as envisioned by the Plan.</w:t>
            </w:r>
          </w:p>
          <w:p w14:paraId="0F7BC53C" w14:textId="77777777" w:rsidR="008F2802" w:rsidRDefault="008F2802" w:rsidP="008F2802">
            <w:pPr>
              <w:pStyle w:val="ListParagraph"/>
              <w:ind w:left="166"/>
              <w:rPr>
                <w:sz w:val="20"/>
                <w:szCs w:val="20"/>
              </w:rPr>
            </w:pPr>
          </w:p>
        </w:tc>
      </w:tr>
    </w:tbl>
    <w:p w14:paraId="17AC0AD0" w14:textId="77777777" w:rsidR="00562BBE" w:rsidRPr="001956B2" w:rsidRDefault="00562BBE" w:rsidP="001956B2"/>
    <w:sectPr w:rsidR="00562BBE" w:rsidRPr="001956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Gulick" w:date="2020-08-14T10:16:00Z" w:initials="SG">
    <w:p w14:paraId="2F0F71A1" w14:textId="220938D0" w:rsidR="00CE77E8" w:rsidRDefault="00CE77E8">
      <w:pPr>
        <w:pStyle w:val="CommentText"/>
      </w:pPr>
      <w:r>
        <w:rPr>
          <w:rStyle w:val="CommentReference"/>
        </w:rPr>
        <w:annotationRef/>
      </w:r>
      <w:r>
        <w:t>Add cross reference in draft plan</w:t>
      </w:r>
    </w:p>
  </w:comment>
  <w:comment w:id="1" w:author="Susan Gulick" w:date="2020-08-14T10:17:00Z" w:initials="SG">
    <w:p w14:paraId="56D547E5" w14:textId="5C7712A7" w:rsidR="00CE77E8" w:rsidRDefault="00CE77E8">
      <w:pPr>
        <w:pStyle w:val="CommentText"/>
      </w:pPr>
      <w:r>
        <w:rPr>
          <w:rStyle w:val="CommentReference"/>
        </w:rPr>
        <w:annotationRef/>
      </w:r>
      <w:r>
        <w:t>Add cross reference in draft plan</w:t>
      </w:r>
    </w:p>
  </w:comment>
  <w:comment w:id="2" w:author="Susan Gulick" w:date="2020-08-14T12:10:00Z" w:initials="SG">
    <w:p w14:paraId="2088EB57" w14:textId="138D4AFA" w:rsidR="00EC5FB0" w:rsidRDefault="00EC5FB0">
      <w:pPr>
        <w:pStyle w:val="CommentText"/>
      </w:pPr>
      <w:r>
        <w:rPr>
          <w:rStyle w:val="CommentReference"/>
        </w:rPr>
        <w:annotationRef/>
      </w:r>
      <w:r>
        <w:t>If this is a policy recommendation we could replace this with a simple cross reference.</w:t>
      </w:r>
    </w:p>
  </w:comment>
  <w:comment w:id="4" w:author="Susan Gulick" w:date="2020-08-14T10:39:00Z" w:initials="SG">
    <w:p w14:paraId="43472588" w14:textId="1C93785B" w:rsidR="00CE77E8" w:rsidRDefault="00CE77E8">
      <w:pPr>
        <w:pStyle w:val="CommentText"/>
      </w:pPr>
      <w:r>
        <w:rPr>
          <w:rStyle w:val="CommentReference"/>
        </w:rPr>
        <w:annotationRef/>
      </w:r>
      <w:r>
        <w:t>This text was provided by WDFW for use by all WRIAs.  WRIA 14 can choose to edit if desired.</w:t>
      </w:r>
    </w:p>
  </w:comment>
  <w:comment w:id="5" w:author="Susan Gulick" w:date="2020-08-14T10:25:00Z" w:initials="SG">
    <w:p w14:paraId="374B6A80" w14:textId="7C3B4752" w:rsidR="00CE77E8" w:rsidRDefault="00CE77E8">
      <w:pPr>
        <w:pStyle w:val="CommentText"/>
      </w:pPr>
      <w:r>
        <w:rPr>
          <w:rStyle w:val="CommentReference"/>
        </w:rPr>
        <w:annotationRef/>
      </w:r>
      <w:r>
        <w:t>This needs to be completed after policy recommendations are finalized.</w:t>
      </w:r>
    </w:p>
  </w:comment>
  <w:comment w:id="6" w:author="Susan Gulick" w:date="2020-08-14T10:33:00Z" w:initials="SG">
    <w:p w14:paraId="69E48BB4" w14:textId="27166D65" w:rsidR="00CE77E8" w:rsidRDefault="00CE77E8">
      <w:pPr>
        <w:pStyle w:val="CommentText"/>
      </w:pPr>
      <w:r>
        <w:rPr>
          <w:rStyle w:val="CommentReference"/>
        </w:rPr>
        <w:annotationRef/>
      </w:r>
      <w:r>
        <w:t>Is this true?</w:t>
      </w:r>
    </w:p>
  </w:comment>
  <w:comment w:id="7" w:author="Susan Gulick" w:date="2020-08-14T11:11:00Z" w:initials="SG">
    <w:p w14:paraId="6AB77B7F" w14:textId="77777777" w:rsidR="00C52FC7" w:rsidRDefault="00C52FC7">
      <w:pPr>
        <w:pStyle w:val="CommentText"/>
      </w:pPr>
      <w:r>
        <w:rPr>
          <w:rStyle w:val="CommentReference"/>
        </w:rPr>
        <w:annotationRef/>
      </w:r>
      <w:r>
        <w:t>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F71A1" w15:done="0"/>
  <w15:commentEx w15:paraId="56D547E5" w15:done="0"/>
  <w15:commentEx w15:paraId="2088EB57" w15:done="0"/>
  <w15:commentEx w15:paraId="43472588" w15:done="0"/>
  <w15:commentEx w15:paraId="374B6A80" w15:done="0"/>
  <w15:commentEx w15:paraId="69E48BB4" w15:done="0"/>
  <w15:commentEx w15:paraId="6AB77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0E314" w16cex:dateUtc="2020-08-14T17:16:00Z"/>
  <w16cex:commentExtensible w16cex:durableId="22E0E322" w16cex:dateUtc="2020-08-14T17:17:00Z"/>
  <w16cex:commentExtensible w16cex:durableId="22E0FDCF" w16cex:dateUtc="2020-08-14T19:10:00Z"/>
  <w16cex:commentExtensible w16cex:durableId="22E0E85F" w16cex:dateUtc="2020-08-14T17:39:00Z"/>
  <w16cex:commentExtensible w16cex:durableId="22E0E51B" w16cex:dateUtc="2020-08-14T17:25:00Z"/>
  <w16cex:commentExtensible w16cex:durableId="22E0E70A" w16cex:dateUtc="2020-08-14T17:33:00Z"/>
  <w16cex:commentExtensible w16cex:durableId="22E0EFFB" w16cex:dateUtc="2020-08-14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0F71A1" w16cid:durableId="22E0E314"/>
  <w16cid:commentId w16cid:paraId="56D547E5" w16cid:durableId="22E0E322"/>
  <w16cid:commentId w16cid:paraId="2088EB57" w16cid:durableId="22E0FDCF"/>
  <w16cid:commentId w16cid:paraId="43472588" w16cid:durableId="22E0E85F"/>
  <w16cid:commentId w16cid:paraId="374B6A80" w16cid:durableId="22E0E51B"/>
  <w16cid:commentId w16cid:paraId="69E48BB4" w16cid:durableId="22E0E70A"/>
  <w16cid:commentId w16cid:paraId="6AB77B7F" w16cid:durableId="22E0EF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EB7"/>
    <w:multiLevelType w:val="multilevel"/>
    <w:tmpl w:val="718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D099F"/>
    <w:multiLevelType w:val="hybridMultilevel"/>
    <w:tmpl w:val="25C2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E04"/>
    <w:multiLevelType w:val="hybridMultilevel"/>
    <w:tmpl w:val="B02C0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E54B9"/>
    <w:multiLevelType w:val="multilevel"/>
    <w:tmpl w:val="FD60FA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BF7A49"/>
    <w:multiLevelType w:val="hybridMultilevel"/>
    <w:tmpl w:val="25C2E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A3B07"/>
    <w:multiLevelType w:val="hybridMultilevel"/>
    <w:tmpl w:val="230A9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F6E90"/>
    <w:multiLevelType w:val="multilevel"/>
    <w:tmpl w:val="AABA32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D10D44"/>
    <w:multiLevelType w:val="hybridMultilevel"/>
    <w:tmpl w:val="40963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62523"/>
    <w:multiLevelType w:val="hybridMultilevel"/>
    <w:tmpl w:val="E89EA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B17110"/>
    <w:multiLevelType w:val="hybridMultilevel"/>
    <w:tmpl w:val="633A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D36EE"/>
    <w:multiLevelType w:val="hybridMultilevel"/>
    <w:tmpl w:val="3E72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F7026"/>
    <w:multiLevelType w:val="multilevel"/>
    <w:tmpl w:val="801E6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80764"/>
    <w:multiLevelType w:val="multilevel"/>
    <w:tmpl w:val="50B6BE9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7A20BC1"/>
    <w:multiLevelType w:val="hybridMultilevel"/>
    <w:tmpl w:val="5748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C4456"/>
    <w:multiLevelType w:val="multilevel"/>
    <w:tmpl w:val="AB4400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444212"/>
    <w:multiLevelType w:val="multilevel"/>
    <w:tmpl w:val="B7A6D4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D577EE1"/>
    <w:multiLevelType w:val="multilevel"/>
    <w:tmpl w:val="9AAADA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D9043B"/>
    <w:multiLevelType w:val="hybridMultilevel"/>
    <w:tmpl w:val="FF14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E4453"/>
    <w:multiLevelType w:val="hybridMultilevel"/>
    <w:tmpl w:val="BF441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A49B0"/>
    <w:multiLevelType w:val="multilevel"/>
    <w:tmpl w:val="68D08C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2BC0755"/>
    <w:multiLevelType w:val="hybridMultilevel"/>
    <w:tmpl w:val="3814C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F756C"/>
    <w:multiLevelType w:val="multilevel"/>
    <w:tmpl w:val="0066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6F1FF7"/>
    <w:multiLevelType w:val="multilevel"/>
    <w:tmpl w:val="1B62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534C90"/>
    <w:multiLevelType w:val="multilevel"/>
    <w:tmpl w:val="CE7AA1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2A49D3"/>
    <w:multiLevelType w:val="multilevel"/>
    <w:tmpl w:val="CDCA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63DDC"/>
    <w:multiLevelType w:val="multilevel"/>
    <w:tmpl w:val="B038C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CA63E19"/>
    <w:multiLevelType w:val="multilevel"/>
    <w:tmpl w:val="08DAF0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EF8470C"/>
    <w:multiLevelType w:val="hybridMultilevel"/>
    <w:tmpl w:val="51743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8"/>
  </w:num>
  <w:num w:numId="5">
    <w:abstractNumId w:val="7"/>
  </w:num>
  <w:num w:numId="6">
    <w:abstractNumId w:val="8"/>
  </w:num>
  <w:num w:numId="7">
    <w:abstractNumId w:val="10"/>
  </w:num>
  <w:num w:numId="8">
    <w:abstractNumId w:val="27"/>
  </w:num>
  <w:num w:numId="9">
    <w:abstractNumId w:val="1"/>
  </w:num>
  <w:num w:numId="10">
    <w:abstractNumId w:val="2"/>
  </w:num>
  <w:num w:numId="11">
    <w:abstractNumId w:val="9"/>
  </w:num>
  <w:num w:numId="12">
    <w:abstractNumId w:val="21"/>
  </w:num>
  <w:num w:numId="13">
    <w:abstractNumId w:val="22"/>
  </w:num>
  <w:num w:numId="14">
    <w:abstractNumId w:val="0"/>
  </w:num>
  <w:num w:numId="15">
    <w:abstractNumId w:val="3"/>
  </w:num>
  <w:num w:numId="16">
    <w:abstractNumId w:val="23"/>
  </w:num>
  <w:num w:numId="17">
    <w:abstractNumId w:val="26"/>
  </w:num>
  <w:num w:numId="18">
    <w:abstractNumId w:val="6"/>
  </w:num>
  <w:num w:numId="19">
    <w:abstractNumId w:val="11"/>
  </w:num>
  <w:num w:numId="20">
    <w:abstractNumId w:val="25"/>
  </w:num>
  <w:num w:numId="21">
    <w:abstractNumId w:val="19"/>
  </w:num>
  <w:num w:numId="22">
    <w:abstractNumId w:val="15"/>
  </w:num>
  <w:num w:numId="23">
    <w:abstractNumId w:val="12"/>
  </w:num>
  <w:num w:numId="24">
    <w:abstractNumId w:val="14"/>
  </w:num>
  <w:num w:numId="25">
    <w:abstractNumId w:val="16"/>
  </w:num>
  <w:num w:numId="26">
    <w:abstractNumId w:val="24"/>
  </w:num>
  <w:num w:numId="27">
    <w:abstractNumId w:val="20"/>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Gulick">
    <w15:presenceInfo w15:providerId="Windows Live" w15:userId="cbb2558fd77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69"/>
    <w:rsid w:val="000224F0"/>
    <w:rsid w:val="00044905"/>
    <w:rsid w:val="00086C61"/>
    <w:rsid w:val="000B010C"/>
    <w:rsid w:val="000D5B86"/>
    <w:rsid w:val="00142E3C"/>
    <w:rsid w:val="001956B2"/>
    <w:rsid w:val="001A070C"/>
    <w:rsid w:val="001A5C0D"/>
    <w:rsid w:val="001C469A"/>
    <w:rsid w:val="001E64A9"/>
    <w:rsid w:val="001F0076"/>
    <w:rsid w:val="00281369"/>
    <w:rsid w:val="003A15F9"/>
    <w:rsid w:val="003C79A4"/>
    <w:rsid w:val="0040194E"/>
    <w:rsid w:val="00443A31"/>
    <w:rsid w:val="00464704"/>
    <w:rsid w:val="004B375F"/>
    <w:rsid w:val="004C3561"/>
    <w:rsid w:val="00562BBE"/>
    <w:rsid w:val="005F3DD7"/>
    <w:rsid w:val="00672708"/>
    <w:rsid w:val="006E1CAA"/>
    <w:rsid w:val="00714303"/>
    <w:rsid w:val="00770AD7"/>
    <w:rsid w:val="008358B9"/>
    <w:rsid w:val="00850F09"/>
    <w:rsid w:val="00866B55"/>
    <w:rsid w:val="008737B5"/>
    <w:rsid w:val="00881A6A"/>
    <w:rsid w:val="00886A67"/>
    <w:rsid w:val="008A63A6"/>
    <w:rsid w:val="008E3BE4"/>
    <w:rsid w:val="008F2802"/>
    <w:rsid w:val="00904D41"/>
    <w:rsid w:val="00905E5E"/>
    <w:rsid w:val="00935C21"/>
    <w:rsid w:val="00972246"/>
    <w:rsid w:val="00A3761C"/>
    <w:rsid w:val="00AC6C41"/>
    <w:rsid w:val="00B32072"/>
    <w:rsid w:val="00B6185B"/>
    <w:rsid w:val="00C125C5"/>
    <w:rsid w:val="00C52FC7"/>
    <w:rsid w:val="00CA5005"/>
    <w:rsid w:val="00CB0C72"/>
    <w:rsid w:val="00CB2BA1"/>
    <w:rsid w:val="00CC18F4"/>
    <w:rsid w:val="00CD77C4"/>
    <w:rsid w:val="00CE77E8"/>
    <w:rsid w:val="00DB318E"/>
    <w:rsid w:val="00E64426"/>
    <w:rsid w:val="00EC5FB0"/>
    <w:rsid w:val="00ED3C45"/>
    <w:rsid w:val="00ED75E2"/>
    <w:rsid w:val="00EE5BC9"/>
    <w:rsid w:val="00EF0315"/>
    <w:rsid w:val="00F15A94"/>
    <w:rsid w:val="00FA041B"/>
    <w:rsid w:val="0DC1F4AD"/>
    <w:rsid w:val="1179C2C5"/>
    <w:rsid w:val="39305EF7"/>
    <w:rsid w:val="4A3B7352"/>
    <w:rsid w:val="53EB8689"/>
    <w:rsid w:val="77A5F776"/>
    <w:rsid w:val="7E30C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F0BF"/>
  <w15:chartTrackingRefBased/>
  <w15:docId w15:val="{587FFDF9-75E3-492F-A6F8-8EFA61D8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8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47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B31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3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470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358B9"/>
    <w:rPr>
      <w:sz w:val="16"/>
      <w:szCs w:val="16"/>
    </w:rPr>
  </w:style>
  <w:style w:type="paragraph" w:styleId="CommentText">
    <w:name w:val="annotation text"/>
    <w:basedOn w:val="Normal"/>
    <w:link w:val="CommentTextChar"/>
    <w:uiPriority w:val="99"/>
    <w:semiHidden/>
    <w:unhideWhenUsed/>
    <w:rsid w:val="008358B9"/>
    <w:pPr>
      <w:spacing w:line="240" w:lineRule="auto"/>
    </w:pPr>
    <w:rPr>
      <w:sz w:val="20"/>
      <w:szCs w:val="20"/>
    </w:rPr>
  </w:style>
  <w:style w:type="character" w:customStyle="1" w:styleId="CommentTextChar">
    <w:name w:val="Comment Text Char"/>
    <w:basedOn w:val="DefaultParagraphFont"/>
    <w:link w:val="CommentText"/>
    <w:uiPriority w:val="99"/>
    <w:semiHidden/>
    <w:rsid w:val="008358B9"/>
    <w:rPr>
      <w:sz w:val="20"/>
      <w:szCs w:val="20"/>
    </w:rPr>
  </w:style>
  <w:style w:type="paragraph" w:styleId="CommentSubject">
    <w:name w:val="annotation subject"/>
    <w:basedOn w:val="CommentText"/>
    <w:next w:val="CommentText"/>
    <w:link w:val="CommentSubjectChar"/>
    <w:uiPriority w:val="99"/>
    <w:semiHidden/>
    <w:unhideWhenUsed/>
    <w:rsid w:val="008358B9"/>
    <w:rPr>
      <w:b/>
      <w:bCs/>
    </w:rPr>
  </w:style>
  <w:style w:type="character" w:customStyle="1" w:styleId="CommentSubjectChar">
    <w:name w:val="Comment Subject Char"/>
    <w:basedOn w:val="CommentTextChar"/>
    <w:link w:val="CommentSubject"/>
    <w:uiPriority w:val="99"/>
    <w:semiHidden/>
    <w:rsid w:val="008358B9"/>
    <w:rPr>
      <w:b/>
      <w:bCs/>
      <w:sz w:val="20"/>
      <w:szCs w:val="20"/>
    </w:rPr>
  </w:style>
  <w:style w:type="paragraph" w:styleId="BalloonText">
    <w:name w:val="Balloon Text"/>
    <w:basedOn w:val="Normal"/>
    <w:link w:val="BalloonTextChar"/>
    <w:uiPriority w:val="99"/>
    <w:semiHidden/>
    <w:unhideWhenUsed/>
    <w:rsid w:val="0083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B9"/>
    <w:rPr>
      <w:rFonts w:ascii="Segoe UI" w:hAnsi="Segoe UI" w:cs="Segoe UI"/>
      <w:sz w:val="18"/>
      <w:szCs w:val="18"/>
    </w:rPr>
  </w:style>
  <w:style w:type="character" w:styleId="Hyperlink">
    <w:name w:val="Hyperlink"/>
    <w:basedOn w:val="DefaultParagraphFont"/>
    <w:uiPriority w:val="99"/>
    <w:unhideWhenUsed/>
    <w:rsid w:val="008358B9"/>
    <w:rPr>
      <w:color w:val="0000FF"/>
      <w:u w:val="single"/>
    </w:rPr>
  </w:style>
  <w:style w:type="character" w:customStyle="1" w:styleId="Heading4Char">
    <w:name w:val="Heading 4 Char"/>
    <w:basedOn w:val="DefaultParagraphFont"/>
    <w:link w:val="Heading4"/>
    <w:uiPriority w:val="9"/>
    <w:rsid w:val="00DB318E"/>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CB0C72"/>
    <w:rPr>
      <w:color w:val="954F72" w:themeColor="followedHyperlink"/>
      <w:u w:val="single"/>
    </w:rPr>
  </w:style>
  <w:style w:type="paragraph" w:styleId="ListParagraph">
    <w:name w:val="List Paragraph"/>
    <w:basedOn w:val="Normal"/>
    <w:link w:val="ListParagraphChar"/>
    <w:uiPriority w:val="34"/>
    <w:qFormat/>
    <w:rsid w:val="008A63A6"/>
    <w:pPr>
      <w:ind w:left="720"/>
      <w:contextualSpacing/>
    </w:pPr>
  </w:style>
  <w:style w:type="character" w:customStyle="1" w:styleId="ListParagraphChar">
    <w:name w:val="List Paragraph Char"/>
    <w:basedOn w:val="DefaultParagraphFont"/>
    <w:link w:val="ListParagraph"/>
    <w:uiPriority w:val="34"/>
    <w:rsid w:val="00972246"/>
  </w:style>
  <w:style w:type="table" w:styleId="TableGrid">
    <w:name w:val="Table Grid"/>
    <w:basedOn w:val="TableNormal"/>
    <w:uiPriority w:val="39"/>
    <w:rsid w:val="00972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7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E77E8"/>
  </w:style>
  <w:style w:type="character" w:customStyle="1" w:styleId="eop">
    <w:name w:val="eop"/>
    <w:basedOn w:val="DefaultParagraphFont"/>
    <w:rsid w:val="00CE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1859">
      <w:bodyDiv w:val="1"/>
      <w:marLeft w:val="0"/>
      <w:marRight w:val="0"/>
      <w:marTop w:val="0"/>
      <w:marBottom w:val="0"/>
      <w:divBdr>
        <w:top w:val="none" w:sz="0" w:space="0" w:color="auto"/>
        <w:left w:val="none" w:sz="0" w:space="0" w:color="auto"/>
        <w:bottom w:val="none" w:sz="0" w:space="0" w:color="auto"/>
        <w:right w:val="none" w:sz="0" w:space="0" w:color="auto"/>
      </w:divBdr>
      <w:divsChild>
        <w:div w:id="453325638">
          <w:marLeft w:val="0"/>
          <w:marRight w:val="0"/>
          <w:marTop w:val="0"/>
          <w:marBottom w:val="0"/>
          <w:divBdr>
            <w:top w:val="none" w:sz="0" w:space="0" w:color="auto"/>
            <w:left w:val="none" w:sz="0" w:space="0" w:color="auto"/>
            <w:bottom w:val="none" w:sz="0" w:space="0" w:color="auto"/>
            <w:right w:val="none" w:sz="0" w:space="0" w:color="auto"/>
          </w:divBdr>
          <w:divsChild>
            <w:div w:id="1917394662">
              <w:marLeft w:val="0"/>
              <w:marRight w:val="0"/>
              <w:marTop w:val="0"/>
              <w:marBottom w:val="0"/>
              <w:divBdr>
                <w:top w:val="none" w:sz="0" w:space="0" w:color="auto"/>
                <w:left w:val="none" w:sz="0" w:space="0" w:color="auto"/>
                <w:bottom w:val="none" w:sz="0" w:space="0" w:color="auto"/>
                <w:right w:val="none" w:sz="0" w:space="0" w:color="auto"/>
              </w:divBdr>
            </w:div>
            <w:div w:id="1676567389">
              <w:marLeft w:val="0"/>
              <w:marRight w:val="0"/>
              <w:marTop w:val="0"/>
              <w:marBottom w:val="0"/>
              <w:divBdr>
                <w:top w:val="none" w:sz="0" w:space="0" w:color="auto"/>
                <w:left w:val="none" w:sz="0" w:space="0" w:color="auto"/>
                <w:bottom w:val="none" w:sz="0" w:space="0" w:color="auto"/>
                <w:right w:val="none" w:sz="0" w:space="0" w:color="auto"/>
              </w:divBdr>
            </w:div>
            <w:div w:id="1971205036">
              <w:marLeft w:val="0"/>
              <w:marRight w:val="0"/>
              <w:marTop w:val="0"/>
              <w:marBottom w:val="0"/>
              <w:divBdr>
                <w:top w:val="none" w:sz="0" w:space="0" w:color="auto"/>
                <w:left w:val="none" w:sz="0" w:space="0" w:color="auto"/>
                <w:bottom w:val="none" w:sz="0" w:space="0" w:color="auto"/>
                <w:right w:val="none" w:sz="0" w:space="0" w:color="auto"/>
              </w:divBdr>
            </w:div>
            <w:div w:id="209389915">
              <w:marLeft w:val="0"/>
              <w:marRight w:val="0"/>
              <w:marTop w:val="0"/>
              <w:marBottom w:val="0"/>
              <w:divBdr>
                <w:top w:val="none" w:sz="0" w:space="0" w:color="auto"/>
                <w:left w:val="none" w:sz="0" w:space="0" w:color="auto"/>
                <w:bottom w:val="none" w:sz="0" w:space="0" w:color="auto"/>
                <w:right w:val="none" w:sz="0" w:space="0" w:color="auto"/>
              </w:divBdr>
            </w:div>
            <w:div w:id="1064252590">
              <w:marLeft w:val="0"/>
              <w:marRight w:val="0"/>
              <w:marTop w:val="0"/>
              <w:marBottom w:val="0"/>
              <w:divBdr>
                <w:top w:val="none" w:sz="0" w:space="0" w:color="auto"/>
                <w:left w:val="none" w:sz="0" w:space="0" w:color="auto"/>
                <w:bottom w:val="none" w:sz="0" w:space="0" w:color="auto"/>
                <w:right w:val="none" w:sz="0" w:space="0" w:color="auto"/>
              </w:divBdr>
            </w:div>
          </w:divsChild>
        </w:div>
        <w:div w:id="1370687020">
          <w:marLeft w:val="0"/>
          <w:marRight w:val="0"/>
          <w:marTop w:val="0"/>
          <w:marBottom w:val="0"/>
          <w:divBdr>
            <w:top w:val="none" w:sz="0" w:space="0" w:color="auto"/>
            <w:left w:val="none" w:sz="0" w:space="0" w:color="auto"/>
            <w:bottom w:val="none" w:sz="0" w:space="0" w:color="auto"/>
            <w:right w:val="none" w:sz="0" w:space="0" w:color="auto"/>
          </w:divBdr>
          <w:divsChild>
            <w:div w:id="212230018">
              <w:marLeft w:val="0"/>
              <w:marRight w:val="0"/>
              <w:marTop w:val="0"/>
              <w:marBottom w:val="0"/>
              <w:divBdr>
                <w:top w:val="none" w:sz="0" w:space="0" w:color="auto"/>
                <w:left w:val="none" w:sz="0" w:space="0" w:color="auto"/>
                <w:bottom w:val="none" w:sz="0" w:space="0" w:color="auto"/>
                <w:right w:val="none" w:sz="0" w:space="0" w:color="auto"/>
              </w:divBdr>
            </w:div>
            <w:div w:id="365252544">
              <w:marLeft w:val="0"/>
              <w:marRight w:val="0"/>
              <w:marTop w:val="0"/>
              <w:marBottom w:val="0"/>
              <w:divBdr>
                <w:top w:val="none" w:sz="0" w:space="0" w:color="auto"/>
                <w:left w:val="none" w:sz="0" w:space="0" w:color="auto"/>
                <w:bottom w:val="none" w:sz="0" w:space="0" w:color="auto"/>
                <w:right w:val="none" w:sz="0" w:space="0" w:color="auto"/>
              </w:divBdr>
            </w:div>
            <w:div w:id="522522109">
              <w:marLeft w:val="0"/>
              <w:marRight w:val="0"/>
              <w:marTop w:val="0"/>
              <w:marBottom w:val="0"/>
              <w:divBdr>
                <w:top w:val="none" w:sz="0" w:space="0" w:color="auto"/>
                <w:left w:val="none" w:sz="0" w:space="0" w:color="auto"/>
                <w:bottom w:val="none" w:sz="0" w:space="0" w:color="auto"/>
                <w:right w:val="none" w:sz="0" w:space="0" w:color="auto"/>
              </w:divBdr>
            </w:div>
            <w:div w:id="179008199">
              <w:marLeft w:val="0"/>
              <w:marRight w:val="0"/>
              <w:marTop w:val="0"/>
              <w:marBottom w:val="0"/>
              <w:divBdr>
                <w:top w:val="none" w:sz="0" w:space="0" w:color="auto"/>
                <w:left w:val="none" w:sz="0" w:space="0" w:color="auto"/>
                <w:bottom w:val="none" w:sz="0" w:space="0" w:color="auto"/>
                <w:right w:val="none" w:sz="0" w:space="0" w:color="auto"/>
              </w:divBdr>
            </w:div>
            <w:div w:id="2119180566">
              <w:marLeft w:val="0"/>
              <w:marRight w:val="0"/>
              <w:marTop w:val="0"/>
              <w:marBottom w:val="0"/>
              <w:divBdr>
                <w:top w:val="none" w:sz="0" w:space="0" w:color="auto"/>
                <w:left w:val="none" w:sz="0" w:space="0" w:color="auto"/>
                <w:bottom w:val="none" w:sz="0" w:space="0" w:color="auto"/>
                <w:right w:val="none" w:sz="0" w:space="0" w:color="auto"/>
              </w:divBdr>
            </w:div>
          </w:divsChild>
        </w:div>
        <w:div w:id="692536584">
          <w:marLeft w:val="0"/>
          <w:marRight w:val="0"/>
          <w:marTop w:val="0"/>
          <w:marBottom w:val="0"/>
          <w:divBdr>
            <w:top w:val="none" w:sz="0" w:space="0" w:color="auto"/>
            <w:left w:val="none" w:sz="0" w:space="0" w:color="auto"/>
            <w:bottom w:val="none" w:sz="0" w:space="0" w:color="auto"/>
            <w:right w:val="none" w:sz="0" w:space="0" w:color="auto"/>
          </w:divBdr>
          <w:divsChild>
            <w:div w:id="1861161783">
              <w:marLeft w:val="0"/>
              <w:marRight w:val="0"/>
              <w:marTop w:val="0"/>
              <w:marBottom w:val="0"/>
              <w:divBdr>
                <w:top w:val="none" w:sz="0" w:space="0" w:color="auto"/>
                <w:left w:val="none" w:sz="0" w:space="0" w:color="auto"/>
                <w:bottom w:val="none" w:sz="0" w:space="0" w:color="auto"/>
                <w:right w:val="none" w:sz="0" w:space="0" w:color="auto"/>
              </w:divBdr>
            </w:div>
            <w:div w:id="122429383">
              <w:marLeft w:val="0"/>
              <w:marRight w:val="0"/>
              <w:marTop w:val="0"/>
              <w:marBottom w:val="0"/>
              <w:divBdr>
                <w:top w:val="none" w:sz="0" w:space="0" w:color="auto"/>
                <w:left w:val="none" w:sz="0" w:space="0" w:color="auto"/>
                <w:bottom w:val="none" w:sz="0" w:space="0" w:color="auto"/>
                <w:right w:val="none" w:sz="0" w:space="0" w:color="auto"/>
              </w:divBdr>
            </w:div>
            <w:div w:id="1769693819">
              <w:marLeft w:val="0"/>
              <w:marRight w:val="0"/>
              <w:marTop w:val="0"/>
              <w:marBottom w:val="0"/>
              <w:divBdr>
                <w:top w:val="none" w:sz="0" w:space="0" w:color="auto"/>
                <w:left w:val="none" w:sz="0" w:space="0" w:color="auto"/>
                <w:bottom w:val="none" w:sz="0" w:space="0" w:color="auto"/>
                <w:right w:val="none" w:sz="0" w:space="0" w:color="auto"/>
              </w:divBdr>
            </w:div>
            <w:div w:id="244458280">
              <w:marLeft w:val="0"/>
              <w:marRight w:val="0"/>
              <w:marTop w:val="0"/>
              <w:marBottom w:val="0"/>
              <w:divBdr>
                <w:top w:val="none" w:sz="0" w:space="0" w:color="auto"/>
                <w:left w:val="none" w:sz="0" w:space="0" w:color="auto"/>
                <w:bottom w:val="none" w:sz="0" w:space="0" w:color="auto"/>
                <w:right w:val="none" w:sz="0" w:space="0" w:color="auto"/>
              </w:divBdr>
            </w:div>
            <w:div w:id="1749620505">
              <w:marLeft w:val="0"/>
              <w:marRight w:val="0"/>
              <w:marTop w:val="0"/>
              <w:marBottom w:val="0"/>
              <w:divBdr>
                <w:top w:val="none" w:sz="0" w:space="0" w:color="auto"/>
                <w:left w:val="none" w:sz="0" w:space="0" w:color="auto"/>
                <w:bottom w:val="none" w:sz="0" w:space="0" w:color="auto"/>
                <w:right w:val="none" w:sz="0" w:space="0" w:color="auto"/>
              </w:divBdr>
            </w:div>
          </w:divsChild>
        </w:div>
        <w:div w:id="1683507160">
          <w:marLeft w:val="0"/>
          <w:marRight w:val="0"/>
          <w:marTop w:val="0"/>
          <w:marBottom w:val="0"/>
          <w:divBdr>
            <w:top w:val="none" w:sz="0" w:space="0" w:color="auto"/>
            <w:left w:val="none" w:sz="0" w:space="0" w:color="auto"/>
            <w:bottom w:val="none" w:sz="0" w:space="0" w:color="auto"/>
            <w:right w:val="none" w:sz="0" w:space="0" w:color="auto"/>
          </w:divBdr>
        </w:div>
        <w:div w:id="1151866898">
          <w:marLeft w:val="0"/>
          <w:marRight w:val="0"/>
          <w:marTop w:val="0"/>
          <w:marBottom w:val="0"/>
          <w:divBdr>
            <w:top w:val="none" w:sz="0" w:space="0" w:color="auto"/>
            <w:left w:val="none" w:sz="0" w:space="0" w:color="auto"/>
            <w:bottom w:val="none" w:sz="0" w:space="0" w:color="auto"/>
            <w:right w:val="none" w:sz="0" w:space="0" w:color="auto"/>
          </w:divBdr>
        </w:div>
      </w:divsChild>
    </w:div>
    <w:div w:id="1552426359">
      <w:bodyDiv w:val="1"/>
      <w:marLeft w:val="0"/>
      <w:marRight w:val="0"/>
      <w:marTop w:val="0"/>
      <w:marBottom w:val="0"/>
      <w:divBdr>
        <w:top w:val="none" w:sz="0" w:space="0" w:color="auto"/>
        <w:left w:val="none" w:sz="0" w:space="0" w:color="auto"/>
        <w:bottom w:val="none" w:sz="0" w:space="0" w:color="auto"/>
        <w:right w:val="none" w:sz="0" w:space="0" w:color="auto"/>
      </w:divBdr>
      <w:divsChild>
        <w:div w:id="923685997">
          <w:marLeft w:val="0"/>
          <w:marRight w:val="0"/>
          <w:marTop w:val="0"/>
          <w:marBottom w:val="0"/>
          <w:divBdr>
            <w:top w:val="none" w:sz="0" w:space="0" w:color="auto"/>
            <w:left w:val="none" w:sz="0" w:space="0" w:color="auto"/>
            <w:bottom w:val="none" w:sz="0" w:space="0" w:color="auto"/>
            <w:right w:val="none" w:sz="0" w:space="0" w:color="auto"/>
          </w:divBdr>
          <w:divsChild>
            <w:div w:id="1976057493">
              <w:marLeft w:val="0"/>
              <w:marRight w:val="0"/>
              <w:marTop w:val="0"/>
              <w:marBottom w:val="0"/>
              <w:divBdr>
                <w:top w:val="none" w:sz="0" w:space="0" w:color="auto"/>
                <w:left w:val="none" w:sz="0" w:space="0" w:color="auto"/>
                <w:bottom w:val="none" w:sz="0" w:space="0" w:color="auto"/>
                <w:right w:val="none" w:sz="0" w:space="0" w:color="auto"/>
              </w:divBdr>
            </w:div>
            <w:div w:id="1800144421">
              <w:marLeft w:val="0"/>
              <w:marRight w:val="0"/>
              <w:marTop w:val="0"/>
              <w:marBottom w:val="0"/>
              <w:divBdr>
                <w:top w:val="none" w:sz="0" w:space="0" w:color="auto"/>
                <w:left w:val="none" w:sz="0" w:space="0" w:color="auto"/>
                <w:bottom w:val="none" w:sz="0" w:space="0" w:color="auto"/>
                <w:right w:val="none" w:sz="0" w:space="0" w:color="auto"/>
              </w:divBdr>
            </w:div>
          </w:divsChild>
        </w:div>
        <w:div w:id="923609041">
          <w:marLeft w:val="0"/>
          <w:marRight w:val="0"/>
          <w:marTop w:val="0"/>
          <w:marBottom w:val="0"/>
          <w:divBdr>
            <w:top w:val="none" w:sz="0" w:space="0" w:color="auto"/>
            <w:left w:val="none" w:sz="0" w:space="0" w:color="auto"/>
            <w:bottom w:val="none" w:sz="0" w:space="0" w:color="auto"/>
            <w:right w:val="none" w:sz="0" w:space="0" w:color="auto"/>
          </w:divBdr>
          <w:divsChild>
            <w:div w:id="1720587327">
              <w:marLeft w:val="0"/>
              <w:marRight w:val="0"/>
              <w:marTop w:val="0"/>
              <w:marBottom w:val="0"/>
              <w:divBdr>
                <w:top w:val="none" w:sz="0" w:space="0" w:color="auto"/>
                <w:left w:val="none" w:sz="0" w:space="0" w:color="auto"/>
                <w:bottom w:val="none" w:sz="0" w:space="0" w:color="auto"/>
                <w:right w:val="none" w:sz="0" w:space="0" w:color="auto"/>
              </w:divBdr>
            </w:div>
          </w:divsChild>
        </w:div>
        <w:div w:id="333456746">
          <w:marLeft w:val="0"/>
          <w:marRight w:val="0"/>
          <w:marTop w:val="0"/>
          <w:marBottom w:val="0"/>
          <w:divBdr>
            <w:top w:val="none" w:sz="0" w:space="0" w:color="auto"/>
            <w:left w:val="none" w:sz="0" w:space="0" w:color="auto"/>
            <w:bottom w:val="none" w:sz="0" w:space="0" w:color="auto"/>
            <w:right w:val="none" w:sz="0" w:space="0" w:color="auto"/>
          </w:divBdr>
          <w:divsChild>
            <w:div w:id="877669072">
              <w:marLeft w:val="0"/>
              <w:marRight w:val="0"/>
              <w:marTop w:val="0"/>
              <w:marBottom w:val="0"/>
              <w:divBdr>
                <w:top w:val="none" w:sz="0" w:space="0" w:color="auto"/>
                <w:left w:val="none" w:sz="0" w:space="0" w:color="auto"/>
                <w:bottom w:val="none" w:sz="0" w:space="0" w:color="auto"/>
                <w:right w:val="none" w:sz="0" w:space="0" w:color="auto"/>
              </w:divBdr>
            </w:div>
            <w:div w:id="2109814338">
              <w:marLeft w:val="0"/>
              <w:marRight w:val="0"/>
              <w:marTop w:val="0"/>
              <w:marBottom w:val="0"/>
              <w:divBdr>
                <w:top w:val="none" w:sz="0" w:space="0" w:color="auto"/>
                <w:left w:val="none" w:sz="0" w:space="0" w:color="auto"/>
                <w:bottom w:val="none" w:sz="0" w:space="0" w:color="auto"/>
                <w:right w:val="none" w:sz="0" w:space="0" w:color="auto"/>
              </w:divBdr>
            </w:div>
            <w:div w:id="713039518">
              <w:marLeft w:val="0"/>
              <w:marRight w:val="0"/>
              <w:marTop w:val="0"/>
              <w:marBottom w:val="0"/>
              <w:divBdr>
                <w:top w:val="none" w:sz="0" w:space="0" w:color="auto"/>
                <w:left w:val="none" w:sz="0" w:space="0" w:color="auto"/>
                <w:bottom w:val="none" w:sz="0" w:space="0" w:color="auto"/>
                <w:right w:val="none" w:sz="0" w:space="0" w:color="auto"/>
              </w:divBdr>
            </w:div>
            <w:div w:id="809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c44f9fce17019c1bc8dbf42b0d3cc47">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09df2a9eeb07cef0937ecde24f2cbc68"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6D523EE7-FB74-4BCC-8736-67D2B9E72FC8}"/>
</file>

<file path=customXml/itemProps2.xml><?xml version="1.0" encoding="utf-8"?>
<ds:datastoreItem xmlns:ds="http://schemas.openxmlformats.org/officeDocument/2006/customXml" ds:itemID="{54AF50D3-A6F8-4E9A-9B40-8CE46D9C9E4C}"/>
</file>

<file path=customXml/itemProps3.xml><?xml version="1.0" encoding="utf-8"?>
<ds:datastoreItem xmlns:ds="http://schemas.openxmlformats.org/officeDocument/2006/customXml" ds:itemID="{17C25524-CC5B-45E6-A97E-8CA152BA27F5}"/>
</file>

<file path=docProps/app.xml><?xml version="1.0" encoding="utf-8"?>
<Properties xmlns="http://schemas.openxmlformats.org/officeDocument/2006/extended-properties" xmlns:vt="http://schemas.openxmlformats.org/officeDocument/2006/docPropsVTypes">
  <Template>Normal.dotm</Template>
  <TotalTime>2</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Draft Adaptive Management plan section</dc:title>
  <dc:subject/>
  <dc:creator>Susan O'Neil</dc:creator>
  <cp:keywords/>
  <dc:description/>
  <cp:lastModifiedBy>Johnson, Angela (ECY)</cp:lastModifiedBy>
  <cp:revision>3</cp:revision>
  <dcterms:created xsi:type="dcterms:W3CDTF">2020-09-02T02:44:00Z</dcterms:created>
  <dcterms:modified xsi:type="dcterms:W3CDTF">2020-09-02T02:45:00Z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