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935F9" w14:textId="13A874BD" w:rsidR="0016222C" w:rsidRDefault="00CF2CE3" w:rsidP="0016222C">
      <w:pPr>
        <w:pStyle w:val="Title"/>
        <w:jc w:val="center"/>
        <w:rPr>
          <w:rFonts w:asciiTheme="minorHAnsi" w:hAnsiTheme="minorHAnsi" w:cstheme="minorHAnsi"/>
          <w:sz w:val="44"/>
        </w:rPr>
      </w:pPr>
      <w:bookmarkStart w:id="0" w:name="_Ref45007170"/>
      <w:r>
        <w:rPr>
          <w:rFonts w:asciiTheme="minorHAnsi" w:hAnsiTheme="minorHAnsi" w:cstheme="minorHAnsi"/>
          <w:sz w:val="44"/>
        </w:rPr>
        <w:t>WRIA 14</w:t>
      </w:r>
      <w:r w:rsidR="0016222C" w:rsidRPr="0016222C">
        <w:rPr>
          <w:rFonts w:asciiTheme="minorHAnsi" w:hAnsiTheme="minorHAnsi" w:cstheme="minorHAnsi"/>
          <w:sz w:val="44"/>
        </w:rPr>
        <w:t xml:space="preserve">: </w:t>
      </w:r>
      <w:r w:rsidR="0016222C">
        <w:rPr>
          <w:rFonts w:asciiTheme="minorHAnsi" w:hAnsiTheme="minorHAnsi" w:cstheme="minorHAnsi"/>
          <w:sz w:val="44"/>
        </w:rPr>
        <w:t xml:space="preserve">PE Well Growth and </w:t>
      </w:r>
    </w:p>
    <w:p w14:paraId="1F585006" w14:textId="77777777" w:rsidR="0016222C" w:rsidRPr="0016222C" w:rsidRDefault="0016222C" w:rsidP="0016222C">
      <w:pPr>
        <w:pStyle w:val="Title"/>
        <w:jc w:val="center"/>
        <w:rPr>
          <w:rFonts w:asciiTheme="minorHAnsi" w:hAnsiTheme="minorHAnsi" w:cstheme="minorHAnsi"/>
          <w:sz w:val="44"/>
        </w:rPr>
      </w:pPr>
      <w:r w:rsidRPr="0016222C">
        <w:rPr>
          <w:rFonts w:asciiTheme="minorHAnsi" w:hAnsiTheme="minorHAnsi" w:cstheme="minorHAnsi"/>
          <w:sz w:val="44"/>
        </w:rPr>
        <w:t>Consumptive Use Discussion Guide</w:t>
      </w:r>
    </w:p>
    <w:p w14:paraId="1A02C35C" w14:textId="2177B20D" w:rsidR="0016222C" w:rsidRDefault="00CF2CE3" w:rsidP="0016222C">
      <w:pPr>
        <w:jc w:val="center"/>
        <w:rPr>
          <w:rFonts w:asciiTheme="minorHAnsi" w:hAnsiTheme="minorHAnsi" w:cstheme="minorHAnsi"/>
        </w:rPr>
      </w:pPr>
      <w:r>
        <w:rPr>
          <w:rFonts w:asciiTheme="minorHAnsi" w:hAnsiTheme="minorHAnsi" w:cstheme="minorHAnsi"/>
        </w:rPr>
        <w:t>September 10</w:t>
      </w:r>
      <w:r w:rsidR="0016222C" w:rsidRPr="0016222C">
        <w:rPr>
          <w:rFonts w:asciiTheme="minorHAnsi" w:hAnsiTheme="minorHAnsi" w:cstheme="minorHAnsi"/>
        </w:rPr>
        <w:t>, 2020</w:t>
      </w:r>
    </w:p>
    <w:p w14:paraId="770D5757" w14:textId="554FDA95" w:rsidR="0016222C" w:rsidRDefault="00822F50" w:rsidP="00822F50">
      <w:pPr>
        <w:pStyle w:val="Heading1"/>
      </w:pPr>
      <w:r>
        <w:t>Background</w:t>
      </w:r>
    </w:p>
    <w:p w14:paraId="738165F6" w14:textId="75AC4535" w:rsidR="00822F50" w:rsidRPr="00822F50" w:rsidRDefault="00822F50" w:rsidP="00822F50">
      <w:pPr>
        <w:rPr>
          <w:rFonts w:asciiTheme="minorHAnsi" w:hAnsiTheme="minorHAnsi" w:cstheme="minorHAnsi"/>
          <w:sz w:val="22"/>
        </w:rPr>
      </w:pPr>
      <w:r w:rsidRPr="00822F50">
        <w:rPr>
          <w:rFonts w:asciiTheme="minorHAnsi" w:hAnsiTheme="minorHAnsi" w:cstheme="minorHAnsi"/>
          <w:sz w:val="22"/>
        </w:rPr>
        <w:t xml:space="preserve">For background information on previous Committee discussions on these topics, please review the </w:t>
      </w:r>
      <w:hyperlink r:id="rId5" w:history="1">
        <w:r w:rsidRPr="00822F50">
          <w:rPr>
            <w:rStyle w:val="Hyperlink"/>
            <w:rFonts w:asciiTheme="minorHAnsi" w:hAnsiTheme="minorHAnsi" w:cstheme="minorHAnsi"/>
            <w:sz w:val="22"/>
          </w:rPr>
          <w:t>“technical progress to date”</w:t>
        </w:r>
      </w:hyperlink>
      <w:r w:rsidRPr="00822F50">
        <w:rPr>
          <w:rFonts w:asciiTheme="minorHAnsi" w:hAnsiTheme="minorHAnsi" w:cstheme="minorHAnsi"/>
          <w:sz w:val="22"/>
        </w:rPr>
        <w:t xml:space="preserve"> memo from January 2020.  </w:t>
      </w:r>
    </w:p>
    <w:p w14:paraId="5F9E0A72" w14:textId="77777777" w:rsidR="0016222C" w:rsidRDefault="0016222C" w:rsidP="0016222C">
      <w:pPr>
        <w:pStyle w:val="Heading1"/>
      </w:pPr>
      <w:r>
        <w:t>PE Well/Connection Growth</w:t>
      </w:r>
    </w:p>
    <w:p w14:paraId="4D038EA1" w14:textId="79662A77" w:rsidR="0016222C" w:rsidRDefault="0016222C" w:rsidP="0016222C">
      <w:pPr>
        <w:rPr>
          <w:rFonts w:asciiTheme="minorHAnsi" w:hAnsiTheme="minorHAnsi" w:cstheme="minorHAnsi"/>
          <w:sz w:val="22"/>
          <w:szCs w:val="22"/>
        </w:rPr>
      </w:pPr>
      <w:r>
        <w:rPr>
          <w:rFonts w:asciiTheme="minorHAnsi" w:hAnsiTheme="minorHAnsi" w:cstheme="minorHAnsi"/>
          <w:sz w:val="22"/>
          <w:szCs w:val="22"/>
        </w:rPr>
        <w:t xml:space="preserve">At the </w:t>
      </w:r>
      <w:r w:rsidR="00CF2CE3">
        <w:rPr>
          <w:rFonts w:asciiTheme="minorHAnsi" w:hAnsiTheme="minorHAnsi" w:cstheme="minorHAnsi"/>
          <w:sz w:val="22"/>
          <w:szCs w:val="22"/>
        </w:rPr>
        <w:t>January 9</w:t>
      </w:r>
      <w:r w:rsidR="00983749">
        <w:rPr>
          <w:rFonts w:asciiTheme="minorHAnsi" w:hAnsiTheme="minorHAnsi" w:cstheme="minorHAnsi"/>
          <w:sz w:val="22"/>
          <w:szCs w:val="22"/>
        </w:rPr>
        <w:t>, 2020</w:t>
      </w:r>
      <w:r>
        <w:rPr>
          <w:rFonts w:asciiTheme="minorHAnsi" w:hAnsiTheme="minorHAnsi" w:cstheme="minorHAnsi"/>
          <w:sz w:val="22"/>
          <w:szCs w:val="22"/>
        </w:rPr>
        <w:t xml:space="preserve"> WREC meeting, the Committee agreed to a </w:t>
      </w:r>
      <w:r w:rsidR="00CF2CE3">
        <w:rPr>
          <w:rFonts w:asciiTheme="minorHAnsi" w:hAnsiTheme="minorHAnsi" w:cstheme="minorHAnsi"/>
          <w:sz w:val="22"/>
          <w:szCs w:val="22"/>
        </w:rPr>
        <w:t xml:space="preserve">range of </w:t>
      </w:r>
      <w:r>
        <w:rPr>
          <w:rFonts w:asciiTheme="minorHAnsi" w:hAnsiTheme="minorHAnsi" w:cstheme="minorHAnsi"/>
          <w:sz w:val="22"/>
          <w:szCs w:val="22"/>
        </w:rPr>
        <w:t>working number</w:t>
      </w:r>
      <w:r w:rsidR="00CF2CE3">
        <w:rPr>
          <w:rFonts w:asciiTheme="minorHAnsi" w:hAnsiTheme="minorHAnsi" w:cstheme="minorHAnsi"/>
          <w:sz w:val="22"/>
          <w:szCs w:val="22"/>
        </w:rPr>
        <w:t>s</w:t>
      </w:r>
      <w:r>
        <w:rPr>
          <w:rFonts w:asciiTheme="minorHAnsi" w:hAnsiTheme="minorHAnsi" w:cstheme="minorHAnsi"/>
          <w:sz w:val="22"/>
          <w:szCs w:val="22"/>
        </w:rPr>
        <w:t xml:space="preserve"> for PE well/connection growth using the analysis provided by </w:t>
      </w:r>
      <w:r w:rsidR="00CF2CE3">
        <w:rPr>
          <w:rFonts w:asciiTheme="minorHAnsi" w:hAnsiTheme="minorHAnsi" w:cstheme="minorHAnsi"/>
          <w:sz w:val="22"/>
          <w:szCs w:val="22"/>
        </w:rPr>
        <w:t xml:space="preserve">HDR for Mason County, and the </w:t>
      </w:r>
      <w:r>
        <w:rPr>
          <w:rFonts w:asciiTheme="minorHAnsi" w:hAnsiTheme="minorHAnsi" w:cstheme="minorHAnsi"/>
          <w:sz w:val="22"/>
          <w:szCs w:val="22"/>
        </w:rPr>
        <w:t>Thurston Re</w:t>
      </w:r>
      <w:r w:rsidR="00CF2CE3">
        <w:rPr>
          <w:rFonts w:asciiTheme="minorHAnsi" w:hAnsiTheme="minorHAnsi" w:cstheme="minorHAnsi"/>
          <w:sz w:val="22"/>
          <w:szCs w:val="22"/>
        </w:rPr>
        <w:t xml:space="preserve">gional Planning Council (TRPC).  HDR provided PE well connection growth information for the “baseline growth”, and a “higher growth” estimate, </w:t>
      </w:r>
      <w:r>
        <w:rPr>
          <w:rFonts w:asciiTheme="minorHAnsi" w:hAnsiTheme="minorHAnsi" w:cstheme="minorHAnsi"/>
          <w:sz w:val="22"/>
          <w:szCs w:val="22"/>
        </w:rPr>
        <w:t>which took into account PE well/connection growth in water syst</w:t>
      </w:r>
      <w:r w:rsidR="00CF2CE3">
        <w:rPr>
          <w:rFonts w:asciiTheme="minorHAnsi" w:hAnsiTheme="minorHAnsi" w:cstheme="minorHAnsi"/>
          <w:sz w:val="22"/>
          <w:szCs w:val="22"/>
        </w:rPr>
        <w:t>ems of rural areas.  The latter analysis was suggested</w:t>
      </w:r>
      <w:r>
        <w:rPr>
          <w:rFonts w:asciiTheme="minorHAnsi" w:hAnsiTheme="minorHAnsi" w:cstheme="minorHAnsi"/>
          <w:sz w:val="22"/>
          <w:szCs w:val="22"/>
        </w:rPr>
        <w:t xml:space="preserve"> to account for the uncertainty that while </w:t>
      </w:r>
      <w:r>
        <w:rPr>
          <w:rFonts w:asciiTheme="minorHAnsi" w:hAnsiTheme="minorHAnsi" w:cstheme="minorHAnsi"/>
          <w:i/>
          <w:sz w:val="22"/>
          <w:szCs w:val="22"/>
        </w:rPr>
        <w:t>most</w:t>
      </w:r>
      <w:r>
        <w:rPr>
          <w:rFonts w:asciiTheme="minorHAnsi" w:hAnsiTheme="minorHAnsi" w:cstheme="minorHAnsi"/>
          <w:sz w:val="22"/>
          <w:szCs w:val="22"/>
        </w:rPr>
        <w:t xml:space="preserve"> homes will connect to water systems within a service area, there are still occasionally PE wells that go into these areas.  </w:t>
      </w:r>
    </w:p>
    <w:p w14:paraId="6747D057" w14:textId="79102AFF" w:rsidR="00983749" w:rsidRDefault="00CF2CE3" w:rsidP="0016222C">
      <w:pPr>
        <w:rPr>
          <w:rFonts w:asciiTheme="minorHAnsi" w:hAnsiTheme="minorHAnsi" w:cstheme="minorHAnsi"/>
          <w:sz w:val="22"/>
          <w:szCs w:val="22"/>
        </w:rPr>
      </w:pPr>
      <w:r>
        <w:rPr>
          <w:rFonts w:asciiTheme="minorHAnsi" w:hAnsiTheme="minorHAnsi" w:cstheme="minorHAnsi"/>
          <w:sz w:val="22"/>
          <w:szCs w:val="22"/>
        </w:rPr>
        <w:t xml:space="preserve">Table 1 below shows the range of working numbers for projected PE well growth.  </w:t>
      </w:r>
      <w:r w:rsidR="00983749">
        <w:rPr>
          <w:rFonts w:asciiTheme="minorHAnsi" w:hAnsiTheme="minorHAnsi" w:cstheme="minorHAnsi"/>
          <w:sz w:val="22"/>
          <w:szCs w:val="22"/>
        </w:rPr>
        <w:t xml:space="preserve">It was the recommendation of the Committee in January 2020 that the </w:t>
      </w:r>
      <w:r>
        <w:rPr>
          <w:rFonts w:asciiTheme="minorHAnsi" w:hAnsiTheme="minorHAnsi" w:cstheme="minorHAnsi"/>
          <w:sz w:val="22"/>
          <w:szCs w:val="22"/>
        </w:rPr>
        <w:t xml:space="preserve">range of </w:t>
      </w:r>
      <w:r w:rsidR="00983749">
        <w:rPr>
          <w:rFonts w:asciiTheme="minorHAnsi" w:hAnsiTheme="minorHAnsi" w:cstheme="minorHAnsi"/>
          <w:sz w:val="22"/>
          <w:szCs w:val="22"/>
        </w:rPr>
        <w:t>working numbers for projected PE well growth be used to calculation the consumptive use offset.</w:t>
      </w:r>
      <w:r>
        <w:rPr>
          <w:rFonts w:asciiTheme="minorHAnsi" w:hAnsiTheme="minorHAnsi" w:cstheme="minorHAnsi"/>
          <w:sz w:val="22"/>
          <w:szCs w:val="22"/>
        </w:rPr>
        <w:t xml:space="preserve"> </w:t>
      </w:r>
    </w:p>
    <w:p w14:paraId="3DF4FC83" w14:textId="77777777" w:rsidR="00CF2CE3" w:rsidRDefault="00CF2CE3" w:rsidP="0016222C">
      <w:pPr>
        <w:rPr>
          <w:rFonts w:asciiTheme="minorHAnsi" w:hAnsiTheme="minorHAnsi" w:cstheme="minorHAnsi"/>
          <w:sz w:val="22"/>
          <w:szCs w:val="22"/>
        </w:rPr>
      </w:pPr>
    </w:p>
    <w:bookmarkEnd w:id="0"/>
    <w:p w14:paraId="68EBF972" w14:textId="0B30A332" w:rsidR="00CF2CE3" w:rsidRPr="00CF2CE3" w:rsidRDefault="00CF2CE3" w:rsidP="00CF2CE3">
      <w:pPr>
        <w:pStyle w:val="Caption"/>
        <w:keepNext/>
        <w:rPr>
          <w:rFonts w:asciiTheme="minorHAnsi" w:hAnsiTheme="minorHAnsi" w:cstheme="minorHAnsi"/>
          <w:b/>
          <w:i w:val="0"/>
          <w:sz w:val="22"/>
        </w:rPr>
      </w:pPr>
      <w:r w:rsidRPr="00CF2CE3">
        <w:rPr>
          <w:rFonts w:asciiTheme="minorHAnsi" w:hAnsiTheme="minorHAnsi" w:cstheme="minorHAnsi"/>
          <w:b/>
          <w:i w:val="0"/>
          <w:sz w:val="22"/>
        </w:rPr>
        <w:t xml:space="preserve">Table </w:t>
      </w:r>
      <w:r w:rsidRPr="00CF2CE3">
        <w:rPr>
          <w:rFonts w:asciiTheme="minorHAnsi" w:hAnsiTheme="minorHAnsi" w:cstheme="minorHAnsi"/>
          <w:b/>
          <w:i w:val="0"/>
          <w:noProof/>
          <w:sz w:val="22"/>
        </w:rPr>
        <w:t>1</w:t>
      </w:r>
      <w:r w:rsidRPr="00CF2CE3">
        <w:rPr>
          <w:rFonts w:asciiTheme="minorHAnsi" w:hAnsiTheme="minorHAnsi" w:cstheme="minorHAnsi"/>
          <w:b/>
          <w:i w:val="0"/>
          <w:sz w:val="22"/>
        </w:rPr>
        <w:t>: Number of PE Wells Projected between 2018 and 2038 for the WRIA 14 Subbasins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594"/>
        <w:gridCol w:w="1972"/>
        <w:gridCol w:w="1940"/>
      </w:tblGrid>
      <w:tr w:rsidR="00CF2CE3" w:rsidRPr="00B57D16" w14:paraId="496E768A" w14:textId="77777777" w:rsidTr="00D10FA1">
        <w:trPr>
          <w:trHeight w:val="300"/>
        </w:trPr>
        <w:tc>
          <w:tcPr>
            <w:tcW w:w="5259" w:type="dxa"/>
            <w:gridSpan w:val="3"/>
            <w:shd w:val="clear" w:color="auto" w:fill="auto"/>
            <w:vAlign w:val="center"/>
            <w:hideMark/>
          </w:tcPr>
          <w:p w14:paraId="3FCD7E2E" w14:textId="77777777" w:rsidR="00CF2CE3" w:rsidRPr="00B57D16" w:rsidRDefault="00CF2CE3" w:rsidP="00D10FA1">
            <w:pPr>
              <w:pStyle w:val="TableParagraph"/>
              <w:rPr>
                <w:b/>
              </w:rPr>
            </w:pPr>
            <w:r w:rsidRPr="00B57D16">
              <w:rPr>
                <w:b/>
              </w:rPr>
              <w:t>Number of Permit-Exempt Wells Added between 2018 and 2038</w:t>
            </w:r>
            <w:r w:rsidRPr="00B57D16">
              <w:rPr>
                <w:rFonts w:hint="eastAsia"/>
                <w:b/>
              </w:rPr>
              <w:t> </w:t>
            </w:r>
          </w:p>
        </w:tc>
      </w:tr>
      <w:tr w:rsidR="00CF2CE3" w:rsidRPr="00B57D16" w14:paraId="4385EECF" w14:textId="77777777" w:rsidTr="00D10FA1">
        <w:trPr>
          <w:trHeight w:val="300"/>
        </w:trPr>
        <w:tc>
          <w:tcPr>
            <w:tcW w:w="0" w:type="auto"/>
            <w:shd w:val="clear" w:color="auto" w:fill="auto"/>
            <w:noWrap/>
            <w:vAlign w:val="bottom"/>
            <w:hideMark/>
          </w:tcPr>
          <w:p w14:paraId="2DC65F14" w14:textId="77777777" w:rsidR="00CF2CE3" w:rsidRPr="00B57D16" w:rsidRDefault="00CF2CE3" w:rsidP="00D10FA1">
            <w:pPr>
              <w:pStyle w:val="TableParagraph"/>
              <w:rPr>
                <w:b/>
              </w:rPr>
            </w:pPr>
            <w:r w:rsidRPr="00B57D16">
              <w:rPr>
                <w:b/>
              </w:rPr>
              <w:t>Subbasin</w:t>
            </w:r>
          </w:p>
        </w:tc>
        <w:tc>
          <w:tcPr>
            <w:tcW w:w="1972" w:type="dxa"/>
            <w:shd w:val="clear" w:color="auto" w:fill="auto"/>
            <w:noWrap/>
            <w:vAlign w:val="bottom"/>
            <w:hideMark/>
          </w:tcPr>
          <w:p w14:paraId="2E3A5F07" w14:textId="77777777" w:rsidR="00CF2CE3" w:rsidRPr="00B57D16" w:rsidRDefault="00CF2CE3" w:rsidP="00D10FA1">
            <w:pPr>
              <w:pStyle w:val="TableParagraph"/>
              <w:rPr>
                <w:b/>
              </w:rPr>
            </w:pPr>
            <w:r w:rsidRPr="00B57D16">
              <w:rPr>
                <w:b/>
              </w:rPr>
              <w:t xml:space="preserve">Baseline </w:t>
            </w:r>
          </w:p>
        </w:tc>
        <w:tc>
          <w:tcPr>
            <w:tcW w:w="1940" w:type="dxa"/>
            <w:shd w:val="clear" w:color="auto" w:fill="auto"/>
            <w:vAlign w:val="bottom"/>
          </w:tcPr>
          <w:p w14:paraId="105C6471" w14:textId="77777777" w:rsidR="00CF2CE3" w:rsidRPr="00B57D16" w:rsidRDefault="00CF2CE3" w:rsidP="00D10FA1">
            <w:pPr>
              <w:pStyle w:val="TableParagraph"/>
              <w:rPr>
                <w:b/>
              </w:rPr>
            </w:pPr>
            <w:r w:rsidRPr="00B57D16">
              <w:rPr>
                <w:b/>
              </w:rPr>
              <w:t>Higher Growth</w:t>
            </w:r>
          </w:p>
        </w:tc>
      </w:tr>
      <w:tr w:rsidR="00CF2CE3" w:rsidRPr="00B57D16" w14:paraId="388C3CFB" w14:textId="77777777" w:rsidTr="00D10FA1">
        <w:trPr>
          <w:trHeight w:val="300"/>
        </w:trPr>
        <w:tc>
          <w:tcPr>
            <w:tcW w:w="0" w:type="auto"/>
            <w:shd w:val="clear" w:color="auto" w:fill="auto"/>
            <w:noWrap/>
            <w:vAlign w:val="bottom"/>
          </w:tcPr>
          <w:p w14:paraId="0427580A" w14:textId="77777777" w:rsidR="00CF2CE3" w:rsidRPr="00B57D16" w:rsidRDefault="00CF2CE3" w:rsidP="00D10FA1">
            <w:pPr>
              <w:pStyle w:val="TableParagraph"/>
              <w:rPr>
                <w:b/>
              </w:rPr>
            </w:pPr>
            <w:r w:rsidRPr="00B57D16">
              <w:rPr>
                <w:b/>
              </w:rPr>
              <w:t>Case</w:t>
            </w:r>
          </w:p>
        </w:tc>
        <w:tc>
          <w:tcPr>
            <w:tcW w:w="1972" w:type="dxa"/>
            <w:shd w:val="clear" w:color="auto" w:fill="auto"/>
            <w:noWrap/>
            <w:vAlign w:val="bottom"/>
          </w:tcPr>
          <w:p w14:paraId="74692D21" w14:textId="77777777" w:rsidR="00CF2CE3" w:rsidRPr="00B57D16" w:rsidRDefault="00CF2CE3" w:rsidP="00D10FA1">
            <w:pPr>
              <w:pStyle w:val="TableParagraph"/>
            </w:pPr>
            <w:r w:rsidRPr="00B57D16">
              <w:t>418</w:t>
            </w:r>
          </w:p>
        </w:tc>
        <w:tc>
          <w:tcPr>
            <w:tcW w:w="1940" w:type="dxa"/>
            <w:shd w:val="clear" w:color="auto" w:fill="auto"/>
            <w:vAlign w:val="bottom"/>
          </w:tcPr>
          <w:p w14:paraId="01F53F5B" w14:textId="77777777" w:rsidR="00CF2CE3" w:rsidRPr="00B57D16" w:rsidRDefault="00CF2CE3" w:rsidP="00D10FA1">
            <w:pPr>
              <w:pStyle w:val="TableParagraph"/>
            </w:pPr>
            <w:r w:rsidRPr="00B57D16">
              <w:t>512</w:t>
            </w:r>
          </w:p>
        </w:tc>
      </w:tr>
      <w:tr w:rsidR="00CF2CE3" w:rsidRPr="00B57D16" w14:paraId="72F2D5B1" w14:textId="77777777" w:rsidTr="00D10FA1">
        <w:trPr>
          <w:trHeight w:val="300"/>
        </w:trPr>
        <w:tc>
          <w:tcPr>
            <w:tcW w:w="0" w:type="auto"/>
            <w:shd w:val="clear" w:color="auto" w:fill="auto"/>
            <w:noWrap/>
            <w:vAlign w:val="bottom"/>
          </w:tcPr>
          <w:p w14:paraId="770C487E" w14:textId="77777777" w:rsidR="00CF2CE3" w:rsidRPr="00B57D16" w:rsidRDefault="00CF2CE3" w:rsidP="00D10FA1">
            <w:pPr>
              <w:pStyle w:val="TableParagraph"/>
              <w:rPr>
                <w:b/>
              </w:rPr>
            </w:pPr>
            <w:r w:rsidRPr="00B57D16">
              <w:rPr>
                <w:b/>
              </w:rPr>
              <w:t>Goldsborough</w:t>
            </w:r>
          </w:p>
        </w:tc>
        <w:tc>
          <w:tcPr>
            <w:tcW w:w="1972" w:type="dxa"/>
            <w:shd w:val="clear" w:color="auto" w:fill="auto"/>
            <w:noWrap/>
            <w:vAlign w:val="bottom"/>
          </w:tcPr>
          <w:p w14:paraId="2D45FC6A" w14:textId="77777777" w:rsidR="00CF2CE3" w:rsidRPr="00B57D16" w:rsidRDefault="00CF2CE3" w:rsidP="00D10FA1">
            <w:pPr>
              <w:pStyle w:val="TableParagraph"/>
            </w:pPr>
            <w:r w:rsidRPr="00B57D16">
              <w:t>509</w:t>
            </w:r>
          </w:p>
        </w:tc>
        <w:tc>
          <w:tcPr>
            <w:tcW w:w="1940" w:type="dxa"/>
            <w:shd w:val="clear" w:color="auto" w:fill="auto"/>
            <w:vAlign w:val="bottom"/>
          </w:tcPr>
          <w:p w14:paraId="70F1450C" w14:textId="77777777" w:rsidR="00CF2CE3" w:rsidRPr="00B57D16" w:rsidRDefault="00CF2CE3" w:rsidP="00D10FA1">
            <w:pPr>
              <w:pStyle w:val="TableParagraph"/>
            </w:pPr>
            <w:r w:rsidRPr="00B57D16">
              <w:t>546</w:t>
            </w:r>
          </w:p>
        </w:tc>
      </w:tr>
      <w:tr w:rsidR="00CF2CE3" w:rsidRPr="00B57D16" w14:paraId="66A6D5CF" w14:textId="77777777" w:rsidTr="00D10FA1">
        <w:trPr>
          <w:trHeight w:val="300"/>
        </w:trPr>
        <w:tc>
          <w:tcPr>
            <w:tcW w:w="0" w:type="auto"/>
            <w:shd w:val="clear" w:color="auto" w:fill="auto"/>
            <w:noWrap/>
            <w:vAlign w:val="bottom"/>
          </w:tcPr>
          <w:p w14:paraId="68FCDCB6" w14:textId="77777777" w:rsidR="00CF2CE3" w:rsidRPr="00B57D16" w:rsidRDefault="00CF2CE3" w:rsidP="00D10FA1">
            <w:pPr>
              <w:pStyle w:val="TableParagraph"/>
              <w:rPr>
                <w:b/>
              </w:rPr>
            </w:pPr>
            <w:r w:rsidRPr="00B57D16">
              <w:rPr>
                <w:b/>
              </w:rPr>
              <w:t>Harstine</w:t>
            </w:r>
          </w:p>
        </w:tc>
        <w:tc>
          <w:tcPr>
            <w:tcW w:w="1972" w:type="dxa"/>
            <w:shd w:val="clear" w:color="auto" w:fill="auto"/>
            <w:noWrap/>
            <w:vAlign w:val="bottom"/>
          </w:tcPr>
          <w:p w14:paraId="47AC243C" w14:textId="77777777" w:rsidR="00CF2CE3" w:rsidRPr="00B57D16" w:rsidRDefault="00CF2CE3" w:rsidP="00D10FA1">
            <w:pPr>
              <w:pStyle w:val="TableParagraph"/>
            </w:pPr>
            <w:r w:rsidRPr="00B57D16">
              <w:t>143</w:t>
            </w:r>
          </w:p>
        </w:tc>
        <w:tc>
          <w:tcPr>
            <w:tcW w:w="1940" w:type="dxa"/>
            <w:shd w:val="clear" w:color="auto" w:fill="auto"/>
            <w:vAlign w:val="bottom"/>
          </w:tcPr>
          <w:p w14:paraId="31F6DDC6" w14:textId="77777777" w:rsidR="00CF2CE3" w:rsidRPr="00B57D16" w:rsidRDefault="00CF2CE3" w:rsidP="00D10FA1">
            <w:pPr>
              <w:pStyle w:val="TableParagraph"/>
            </w:pPr>
            <w:r w:rsidRPr="00B57D16">
              <w:t>143</w:t>
            </w:r>
          </w:p>
        </w:tc>
      </w:tr>
      <w:tr w:rsidR="00CF2CE3" w:rsidRPr="00B57D16" w14:paraId="2DE37538" w14:textId="77777777" w:rsidTr="00D10FA1">
        <w:trPr>
          <w:trHeight w:val="300"/>
        </w:trPr>
        <w:tc>
          <w:tcPr>
            <w:tcW w:w="0" w:type="auto"/>
            <w:shd w:val="clear" w:color="auto" w:fill="auto"/>
            <w:noWrap/>
            <w:vAlign w:val="bottom"/>
          </w:tcPr>
          <w:p w14:paraId="29656115" w14:textId="77777777" w:rsidR="00CF2CE3" w:rsidRPr="00B57D16" w:rsidRDefault="00CF2CE3" w:rsidP="00D10FA1">
            <w:pPr>
              <w:pStyle w:val="TableParagraph"/>
              <w:rPr>
                <w:b/>
              </w:rPr>
            </w:pPr>
            <w:r w:rsidRPr="00B57D16">
              <w:rPr>
                <w:b/>
              </w:rPr>
              <w:t>Hood</w:t>
            </w:r>
          </w:p>
        </w:tc>
        <w:tc>
          <w:tcPr>
            <w:tcW w:w="1972" w:type="dxa"/>
            <w:shd w:val="clear" w:color="auto" w:fill="auto"/>
            <w:noWrap/>
            <w:vAlign w:val="bottom"/>
          </w:tcPr>
          <w:p w14:paraId="314A3846" w14:textId="77777777" w:rsidR="00CF2CE3" w:rsidRPr="00B57D16" w:rsidRDefault="00CF2CE3" w:rsidP="00D10FA1">
            <w:pPr>
              <w:pStyle w:val="TableParagraph"/>
            </w:pPr>
            <w:r w:rsidRPr="00B57D16">
              <w:t>74</w:t>
            </w:r>
          </w:p>
        </w:tc>
        <w:tc>
          <w:tcPr>
            <w:tcW w:w="1940" w:type="dxa"/>
            <w:shd w:val="clear" w:color="auto" w:fill="auto"/>
            <w:vAlign w:val="bottom"/>
          </w:tcPr>
          <w:p w14:paraId="075DA083" w14:textId="77777777" w:rsidR="00CF2CE3" w:rsidRPr="00B57D16" w:rsidRDefault="00CF2CE3" w:rsidP="00D10FA1">
            <w:pPr>
              <w:pStyle w:val="TableParagraph"/>
            </w:pPr>
            <w:r w:rsidRPr="00B57D16">
              <w:t>117</w:t>
            </w:r>
          </w:p>
        </w:tc>
      </w:tr>
      <w:tr w:rsidR="00CF2CE3" w:rsidRPr="00B57D16" w14:paraId="6B026750" w14:textId="77777777" w:rsidTr="00D10FA1">
        <w:trPr>
          <w:trHeight w:val="300"/>
        </w:trPr>
        <w:tc>
          <w:tcPr>
            <w:tcW w:w="0" w:type="auto"/>
            <w:shd w:val="clear" w:color="auto" w:fill="auto"/>
            <w:noWrap/>
            <w:vAlign w:val="bottom"/>
          </w:tcPr>
          <w:p w14:paraId="0A149E98" w14:textId="77777777" w:rsidR="00CF2CE3" w:rsidRPr="00B57D16" w:rsidRDefault="00CF2CE3" w:rsidP="00D10FA1">
            <w:pPr>
              <w:pStyle w:val="TableParagraph"/>
              <w:rPr>
                <w:b/>
              </w:rPr>
            </w:pPr>
            <w:r w:rsidRPr="00B57D16">
              <w:rPr>
                <w:b/>
              </w:rPr>
              <w:t>Kennedy</w:t>
            </w:r>
          </w:p>
        </w:tc>
        <w:tc>
          <w:tcPr>
            <w:tcW w:w="1972" w:type="dxa"/>
            <w:shd w:val="clear" w:color="auto" w:fill="auto"/>
            <w:noWrap/>
            <w:vAlign w:val="bottom"/>
          </w:tcPr>
          <w:p w14:paraId="5414D800" w14:textId="77777777" w:rsidR="00CF2CE3" w:rsidRPr="00B57D16" w:rsidRDefault="00CF2CE3" w:rsidP="00D10FA1">
            <w:pPr>
              <w:pStyle w:val="TableParagraph"/>
            </w:pPr>
            <w:r w:rsidRPr="00B57D16">
              <w:t>556</w:t>
            </w:r>
          </w:p>
        </w:tc>
        <w:tc>
          <w:tcPr>
            <w:tcW w:w="1940" w:type="dxa"/>
            <w:shd w:val="clear" w:color="auto" w:fill="auto"/>
            <w:vAlign w:val="bottom"/>
          </w:tcPr>
          <w:p w14:paraId="3EAF6D57" w14:textId="77777777" w:rsidR="00CF2CE3" w:rsidRPr="00B57D16" w:rsidRDefault="00CF2CE3" w:rsidP="00D10FA1">
            <w:pPr>
              <w:pStyle w:val="TableParagraph"/>
            </w:pPr>
            <w:r w:rsidRPr="00B57D16">
              <w:t>588</w:t>
            </w:r>
          </w:p>
        </w:tc>
      </w:tr>
      <w:tr w:rsidR="00CF2CE3" w:rsidRPr="00B57D16" w14:paraId="278087B7" w14:textId="77777777" w:rsidTr="00D10FA1">
        <w:trPr>
          <w:trHeight w:val="300"/>
        </w:trPr>
        <w:tc>
          <w:tcPr>
            <w:tcW w:w="0" w:type="auto"/>
            <w:shd w:val="clear" w:color="auto" w:fill="auto"/>
            <w:noWrap/>
            <w:vAlign w:val="bottom"/>
          </w:tcPr>
          <w:p w14:paraId="5642578E" w14:textId="77777777" w:rsidR="00CF2CE3" w:rsidRPr="00B57D16" w:rsidRDefault="00CF2CE3" w:rsidP="00D10FA1">
            <w:pPr>
              <w:pStyle w:val="TableParagraph"/>
              <w:rPr>
                <w:b/>
              </w:rPr>
            </w:pPr>
            <w:r w:rsidRPr="00B57D16">
              <w:rPr>
                <w:b/>
              </w:rPr>
              <w:t>Mill</w:t>
            </w:r>
          </w:p>
        </w:tc>
        <w:tc>
          <w:tcPr>
            <w:tcW w:w="1972" w:type="dxa"/>
            <w:shd w:val="clear" w:color="auto" w:fill="auto"/>
            <w:noWrap/>
            <w:vAlign w:val="bottom"/>
          </w:tcPr>
          <w:p w14:paraId="4A25C737" w14:textId="77777777" w:rsidR="00CF2CE3" w:rsidRPr="00B57D16" w:rsidRDefault="00CF2CE3" w:rsidP="00D10FA1">
            <w:pPr>
              <w:pStyle w:val="TableParagraph"/>
            </w:pPr>
            <w:r w:rsidRPr="00B57D16">
              <w:t>462</w:t>
            </w:r>
          </w:p>
        </w:tc>
        <w:tc>
          <w:tcPr>
            <w:tcW w:w="1940" w:type="dxa"/>
            <w:shd w:val="clear" w:color="auto" w:fill="auto"/>
            <w:vAlign w:val="bottom"/>
          </w:tcPr>
          <w:p w14:paraId="265860A6" w14:textId="77777777" w:rsidR="00CF2CE3" w:rsidRPr="00B57D16" w:rsidRDefault="00CF2CE3" w:rsidP="00D10FA1">
            <w:pPr>
              <w:pStyle w:val="TableParagraph"/>
            </w:pPr>
            <w:r w:rsidRPr="00B57D16">
              <w:t>466</w:t>
            </w:r>
          </w:p>
        </w:tc>
      </w:tr>
      <w:tr w:rsidR="00CF2CE3" w:rsidRPr="00B57D16" w14:paraId="0EE81523" w14:textId="77777777" w:rsidTr="00D10FA1">
        <w:trPr>
          <w:trHeight w:val="300"/>
        </w:trPr>
        <w:tc>
          <w:tcPr>
            <w:tcW w:w="0" w:type="auto"/>
            <w:shd w:val="clear" w:color="auto" w:fill="auto"/>
            <w:noWrap/>
            <w:vAlign w:val="bottom"/>
          </w:tcPr>
          <w:p w14:paraId="08E32EEE" w14:textId="77777777" w:rsidR="00CF2CE3" w:rsidRPr="00B57D16" w:rsidRDefault="00CF2CE3" w:rsidP="00D10FA1">
            <w:pPr>
              <w:pStyle w:val="TableParagraph"/>
              <w:rPr>
                <w:b/>
              </w:rPr>
            </w:pPr>
            <w:r w:rsidRPr="00B57D16">
              <w:rPr>
                <w:b/>
              </w:rPr>
              <w:t>Oakland</w:t>
            </w:r>
          </w:p>
        </w:tc>
        <w:tc>
          <w:tcPr>
            <w:tcW w:w="1972" w:type="dxa"/>
            <w:shd w:val="clear" w:color="auto" w:fill="auto"/>
            <w:noWrap/>
            <w:vAlign w:val="bottom"/>
          </w:tcPr>
          <w:p w14:paraId="0E8C23D3" w14:textId="77777777" w:rsidR="00CF2CE3" w:rsidRPr="00B57D16" w:rsidRDefault="00CF2CE3" w:rsidP="00D10FA1">
            <w:pPr>
              <w:pStyle w:val="TableParagraph"/>
            </w:pPr>
            <w:r w:rsidRPr="00B57D16">
              <w:t>1,481</w:t>
            </w:r>
          </w:p>
        </w:tc>
        <w:tc>
          <w:tcPr>
            <w:tcW w:w="1940" w:type="dxa"/>
            <w:shd w:val="clear" w:color="auto" w:fill="auto"/>
            <w:vAlign w:val="bottom"/>
          </w:tcPr>
          <w:p w14:paraId="31471472" w14:textId="77777777" w:rsidR="00CF2CE3" w:rsidRPr="00B57D16" w:rsidRDefault="00CF2CE3" w:rsidP="00D10FA1">
            <w:pPr>
              <w:pStyle w:val="TableParagraph"/>
            </w:pPr>
            <w:r w:rsidRPr="00B57D16">
              <w:t>1559</w:t>
            </w:r>
          </w:p>
        </w:tc>
      </w:tr>
      <w:tr w:rsidR="00CF2CE3" w:rsidRPr="00B57D16" w14:paraId="7095FB4C" w14:textId="77777777" w:rsidTr="00D10FA1">
        <w:trPr>
          <w:trHeight w:val="300"/>
        </w:trPr>
        <w:tc>
          <w:tcPr>
            <w:tcW w:w="0" w:type="auto"/>
            <w:shd w:val="clear" w:color="auto" w:fill="auto"/>
            <w:noWrap/>
            <w:vAlign w:val="bottom"/>
          </w:tcPr>
          <w:p w14:paraId="787F8A45" w14:textId="77777777" w:rsidR="00CF2CE3" w:rsidRPr="00B57D16" w:rsidRDefault="00CF2CE3" w:rsidP="00D10FA1">
            <w:pPr>
              <w:pStyle w:val="TableParagraph"/>
              <w:rPr>
                <w:b/>
              </w:rPr>
            </w:pPr>
            <w:r w:rsidRPr="00B57D16">
              <w:rPr>
                <w:b/>
              </w:rPr>
              <w:t>Skookum</w:t>
            </w:r>
          </w:p>
        </w:tc>
        <w:tc>
          <w:tcPr>
            <w:tcW w:w="1972" w:type="dxa"/>
            <w:shd w:val="clear" w:color="auto" w:fill="auto"/>
            <w:noWrap/>
            <w:vAlign w:val="bottom"/>
          </w:tcPr>
          <w:p w14:paraId="4FE87FDD" w14:textId="77777777" w:rsidR="00CF2CE3" w:rsidRPr="00B57D16" w:rsidRDefault="00CF2CE3" w:rsidP="00D10FA1">
            <w:pPr>
              <w:pStyle w:val="TableParagraph"/>
            </w:pPr>
            <w:r w:rsidRPr="00B57D16">
              <w:t>363</w:t>
            </w:r>
          </w:p>
        </w:tc>
        <w:tc>
          <w:tcPr>
            <w:tcW w:w="1940" w:type="dxa"/>
            <w:shd w:val="clear" w:color="auto" w:fill="auto"/>
            <w:vAlign w:val="bottom"/>
          </w:tcPr>
          <w:p w14:paraId="257E126F" w14:textId="77777777" w:rsidR="00CF2CE3" w:rsidRPr="00B57D16" w:rsidRDefault="00CF2CE3" w:rsidP="00D10FA1">
            <w:pPr>
              <w:pStyle w:val="TableParagraph"/>
            </w:pPr>
            <w:r w:rsidRPr="00B57D16">
              <w:t>363</w:t>
            </w:r>
          </w:p>
        </w:tc>
      </w:tr>
      <w:tr w:rsidR="00CF2CE3" w:rsidRPr="00B57D16" w14:paraId="5EB6AA5F" w14:textId="77777777" w:rsidTr="00D10FA1">
        <w:trPr>
          <w:trHeight w:val="300"/>
        </w:trPr>
        <w:tc>
          <w:tcPr>
            <w:tcW w:w="0" w:type="auto"/>
            <w:shd w:val="clear" w:color="auto" w:fill="auto"/>
            <w:noWrap/>
            <w:vAlign w:val="bottom"/>
            <w:hideMark/>
          </w:tcPr>
          <w:p w14:paraId="44D67DAF" w14:textId="77777777" w:rsidR="00CF2CE3" w:rsidRPr="00B57D16" w:rsidRDefault="00CF2CE3" w:rsidP="00D10FA1">
            <w:pPr>
              <w:pStyle w:val="TableParagraph"/>
              <w:rPr>
                <w:b/>
                <w:bCs/>
              </w:rPr>
            </w:pPr>
            <w:r w:rsidRPr="00B57D16">
              <w:rPr>
                <w:b/>
              </w:rPr>
              <w:t>Totals</w:t>
            </w:r>
          </w:p>
        </w:tc>
        <w:tc>
          <w:tcPr>
            <w:tcW w:w="1972" w:type="dxa"/>
            <w:shd w:val="clear" w:color="auto" w:fill="auto"/>
            <w:noWrap/>
            <w:vAlign w:val="bottom"/>
          </w:tcPr>
          <w:p w14:paraId="73A06BC7" w14:textId="77777777" w:rsidR="00CF2CE3" w:rsidRPr="00B57D16" w:rsidRDefault="00CF2CE3" w:rsidP="00D10FA1">
            <w:pPr>
              <w:pStyle w:val="TableParagraph"/>
            </w:pPr>
            <w:r w:rsidRPr="00B57D16">
              <w:rPr>
                <w:b/>
                <w:bCs/>
              </w:rPr>
              <w:t>4,006</w:t>
            </w:r>
          </w:p>
        </w:tc>
        <w:tc>
          <w:tcPr>
            <w:tcW w:w="1940" w:type="dxa"/>
            <w:shd w:val="clear" w:color="auto" w:fill="auto"/>
            <w:vAlign w:val="bottom"/>
          </w:tcPr>
          <w:p w14:paraId="6C539CE3" w14:textId="77777777" w:rsidR="00CF2CE3" w:rsidRPr="00B57D16" w:rsidRDefault="00CF2CE3" w:rsidP="00D10FA1">
            <w:pPr>
              <w:pStyle w:val="TableParagraph"/>
            </w:pPr>
            <w:r w:rsidRPr="00B57D16">
              <w:rPr>
                <w:b/>
                <w:bCs/>
              </w:rPr>
              <w:t>4,294</w:t>
            </w:r>
          </w:p>
        </w:tc>
      </w:tr>
    </w:tbl>
    <w:p w14:paraId="4EF4D38D" w14:textId="77777777" w:rsidR="00822F50" w:rsidRDefault="00822F50" w:rsidP="00822F50">
      <w:pPr>
        <w:pStyle w:val="Paragraph"/>
      </w:pPr>
      <w:r>
        <w:br/>
      </w:r>
      <w:r>
        <w:br/>
      </w:r>
    </w:p>
    <w:p w14:paraId="4366C5B4" w14:textId="7C6F253F" w:rsidR="00167CBC" w:rsidRDefault="00167CBC" w:rsidP="00167CBC">
      <w:pPr>
        <w:pStyle w:val="Heading1"/>
      </w:pPr>
      <w:r>
        <w:lastRenderedPageBreak/>
        <w:t>Consumptive Use</w:t>
      </w:r>
    </w:p>
    <w:p w14:paraId="37F91CC6" w14:textId="77777777" w:rsidR="00822F50" w:rsidRPr="00822F50" w:rsidRDefault="00822F50" w:rsidP="00822F50"/>
    <w:p w14:paraId="5CBA657A" w14:textId="3097694D" w:rsidR="0085000D" w:rsidRDefault="00CF2CE3" w:rsidP="00CF2CE3">
      <w:pPr>
        <w:rPr>
          <w:rFonts w:asciiTheme="minorHAnsi" w:hAnsiTheme="minorHAnsi" w:cstheme="minorHAnsi"/>
          <w:sz w:val="22"/>
          <w:szCs w:val="22"/>
        </w:rPr>
      </w:pPr>
      <w:r>
        <w:rPr>
          <w:rFonts w:asciiTheme="minorHAnsi" w:hAnsiTheme="minorHAnsi" w:cstheme="minorHAnsi"/>
          <w:sz w:val="22"/>
          <w:szCs w:val="22"/>
        </w:rPr>
        <w:t>In January 2020, the WRIA 14</w:t>
      </w:r>
      <w:r w:rsidR="00167CBC">
        <w:rPr>
          <w:rFonts w:asciiTheme="minorHAnsi" w:hAnsiTheme="minorHAnsi" w:cstheme="minorHAnsi"/>
          <w:sz w:val="22"/>
          <w:szCs w:val="22"/>
        </w:rPr>
        <w:t xml:space="preserve"> WREC agreed to </w:t>
      </w:r>
      <w:r>
        <w:rPr>
          <w:rFonts w:asciiTheme="minorHAnsi" w:hAnsiTheme="minorHAnsi" w:cstheme="minorHAnsi"/>
          <w:sz w:val="22"/>
          <w:szCs w:val="22"/>
        </w:rPr>
        <w:t xml:space="preserve">a primary </w:t>
      </w:r>
      <w:r w:rsidR="00167CBC">
        <w:rPr>
          <w:rFonts w:asciiTheme="minorHAnsi" w:hAnsiTheme="minorHAnsi" w:cstheme="minorHAnsi"/>
          <w:sz w:val="22"/>
          <w:szCs w:val="22"/>
        </w:rPr>
        <w:t xml:space="preserve">working </w:t>
      </w:r>
      <w:r>
        <w:rPr>
          <w:rFonts w:asciiTheme="minorHAnsi" w:hAnsiTheme="minorHAnsi" w:cstheme="minorHAnsi"/>
          <w:sz w:val="22"/>
          <w:szCs w:val="22"/>
        </w:rPr>
        <w:t>number for consumptive use, which is a range as a result of the range of projected PE well growth.</w:t>
      </w:r>
      <w:r w:rsidR="00822F50">
        <w:rPr>
          <w:rFonts w:asciiTheme="minorHAnsi" w:hAnsiTheme="minorHAnsi" w:cstheme="minorHAnsi"/>
          <w:sz w:val="22"/>
          <w:szCs w:val="22"/>
        </w:rPr>
        <w:t xml:space="preserve">  </w:t>
      </w:r>
      <w:r w:rsidR="00167CBC">
        <w:rPr>
          <w:rFonts w:asciiTheme="minorHAnsi" w:hAnsiTheme="minorHAnsi" w:cstheme="minorHAnsi"/>
          <w:sz w:val="22"/>
          <w:szCs w:val="22"/>
        </w:rPr>
        <w:t>Many Committee members stated that they were not prepared to finalize the working numbers without comparing the consumptive use offset to the off</w:t>
      </w:r>
      <w:r>
        <w:rPr>
          <w:rFonts w:asciiTheme="minorHAnsi" w:hAnsiTheme="minorHAnsi" w:cstheme="minorHAnsi"/>
          <w:sz w:val="22"/>
          <w:szCs w:val="22"/>
        </w:rPr>
        <w:t xml:space="preserve">sets available from projects.  </w:t>
      </w:r>
      <w:r w:rsidR="00167CBC">
        <w:rPr>
          <w:rFonts w:asciiTheme="minorHAnsi" w:hAnsiTheme="minorHAnsi" w:cstheme="minorHAnsi"/>
          <w:sz w:val="22"/>
          <w:szCs w:val="22"/>
        </w:rPr>
        <w:t xml:space="preserve"> </w:t>
      </w:r>
    </w:p>
    <w:p w14:paraId="41760FD8" w14:textId="77777777" w:rsidR="00CF2CE3" w:rsidRPr="00CF2CE3" w:rsidRDefault="00CF2CE3" w:rsidP="00CF2CE3">
      <w:pPr>
        <w:pStyle w:val="Paragraph"/>
        <w:rPr>
          <w:sz w:val="22"/>
        </w:rPr>
      </w:pPr>
      <w:r w:rsidRPr="00CF2CE3">
        <w:rPr>
          <w:sz w:val="22"/>
        </w:rPr>
        <w:t>The average outdoor irrigated area analysis was limited to a sample size of 80 parcels distributed by location and property values. Also, the interpretation of irrigated areas from aerial photos is subject to error. Some committee members voiced concern over these uncertainties in the outdoor irrigated area analysis. To help address the potentially limited sample size, the Committee estimated the error margin achieved with the 80 parcels, and determined that it was approximately 0.03 acres (i.e., the arithmetic average of 0.07 acres has an error margin of 0.03 acres). Applying this error margin increased the irrigated area to 0.11 acres. Also, the committee calculated the 95 percent upper confidence of the irrigated area average. The 95 percent upper confidence limit was 0.14 acres. The 95 percent upper confidence limit represents an upper estimate of the mean that has a 95 percent probability of being less than that upper limit (i.e. an over estimate of irrigated area that would likely result in a more conservative consumptive use estimate).  The Committee generally agreed that the outdoor irrigation area for new permit-exempt connections are likely to be smaller than the 95 percent confidence limit (0.14 acres).</w:t>
      </w:r>
    </w:p>
    <w:p w14:paraId="5CABA2CB" w14:textId="32A374AF" w:rsidR="0085000D" w:rsidRPr="00983749" w:rsidRDefault="0085000D" w:rsidP="0085000D">
      <w:pPr>
        <w:pStyle w:val="Paragraph"/>
        <w:rPr>
          <w:sz w:val="22"/>
          <w:szCs w:val="22"/>
        </w:rPr>
      </w:pPr>
      <w:r w:rsidRPr="00983749">
        <w:rPr>
          <w:sz w:val="22"/>
          <w:szCs w:val="22"/>
        </w:rPr>
        <w:t xml:space="preserve">Potential bias in methodology was addressed in a comparability study with GeoEngineers (technical consultant for WRIAs 7, 8, 9).  The comparability study found that the results were usable and that while the method is subject to error, there was not systemic bias.  The two consultant teams developed a </w:t>
      </w:r>
      <w:hyperlink r:id="rId6" w:history="1">
        <w:r w:rsidRPr="00983749">
          <w:rPr>
            <w:rStyle w:val="Hyperlink"/>
            <w:sz w:val="22"/>
            <w:szCs w:val="22"/>
          </w:rPr>
          <w:t>memo</w:t>
        </w:r>
      </w:hyperlink>
      <w:r w:rsidRPr="00983749">
        <w:rPr>
          <w:sz w:val="22"/>
          <w:szCs w:val="22"/>
        </w:rPr>
        <w:t xml:space="preserve"> with their findings, which Angela distributed to the Committee for review.  </w:t>
      </w:r>
    </w:p>
    <w:p w14:paraId="7199D735" w14:textId="33B56E2A" w:rsidR="00822F50" w:rsidRPr="00822F50" w:rsidRDefault="00822F50" w:rsidP="00822F50">
      <w:pPr>
        <w:pStyle w:val="Paragraph"/>
        <w:rPr>
          <w:sz w:val="22"/>
          <w:shd w:val="clear" w:color="auto" w:fill="D9D9D9" w:themeFill="background1" w:themeFillShade="D9"/>
        </w:rPr>
      </w:pPr>
      <w:bookmarkStart w:id="1" w:name="_Ref45007241"/>
      <w:r w:rsidRPr="00822F50">
        <w:rPr>
          <w:sz w:val="22"/>
          <w:u w:val="single"/>
        </w:rPr>
        <w:t>Of the methodologies presented to address uncertainty in the calculations of consumptive use, the Committee agreed that the most appropriate estimate for WRIA 14 should be based on the assumption to assign a minimum value of 0.05 ac</w:t>
      </w:r>
      <w:r w:rsidR="00235A90">
        <w:rPr>
          <w:sz w:val="22"/>
          <w:u w:val="single"/>
        </w:rPr>
        <w:t>r</w:t>
      </w:r>
      <w:r w:rsidRPr="00822F50">
        <w:rPr>
          <w:sz w:val="22"/>
          <w:u w:val="single"/>
        </w:rPr>
        <w:t>es to the 80 parcels used to calculate the average irrigated area.</w:t>
      </w:r>
      <w:r w:rsidRPr="00822F50">
        <w:rPr>
          <w:sz w:val="22"/>
        </w:rPr>
        <w:t xml:space="preserve">  This resulted in an irrigated area of 0.10 acres, which was applied to the calculations to determine indoor, outdoor, and total consumptive us</w:t>
      </w:r>
      <w:r>
        <w:rPr>
          <w:sz w:val="22"/>
        </w:rPr>
        <w:t>e estimates by subbasin (Table 2 and Table 3</w:t>
      </w:r>
      <w:r w:rsidRPr="00822F50">
        <w:rPr>
          <w:sz w:val="22"/>
        </w:rPr>
        <w:t xml:space="preserve">).  </w:t>
      </w:r>
      <w:r w:rsidRPr="00822F50">
        <w:rPr>
          <w:sz w:val="22"/>
          <w:shd w:val="clear" w:color="auto" w:fill="D9D9D9" w:themeFill="background1" w:themeFillShade="D9"/>
        </w:rPr>
        <w:t>[Comment: the Committee has agreed to use this as the primary “working number”, and can be changed to reflect any final decisions.]</w:t>
      </w:r>
    </w:p>
    <w:p w14:paraId="11013F19" w14:textId="77777777" w:rsidR="00822F50" w:rsidRDefault="00822F50" w:rsidP="00822F50">
      <w:pPr>
        <w:pStyle w:val="Paragraph"/>
      </w:pPr>
    </w:p>
    <w:p w14:paraId="15AAC006" w14:textId="77777777" w:rsidR="00822F50" w:rsidRDefault="00822F50" w:rsidP="00822F50">
      <w:pPr>
        <w:pStyle w:val="Paragraph"/>
      </w:pPr>
    </w:p>
    <w:p w14:paraId="463B981A" w14:textId="77777777" w:rsidR="00822F50" w:rsidRDefault="00822F50" w:rsidP="00822F50">
      <w:pPr>
        <w:pStyle w:val="Paragraph"/>
      </w:pPr>
    </w:p>
    <w:p w14:paraId="767894FC" w14:textId="77777777" w:rsidR="00822F50" w:rsidRDefault="00822F50" w:rsidP="00822F50">
      <w:pPr>
        <w:pStyle w:val="Paragraph"/>
      </w:pPr>
    </w:p>
    <w:p w14:paraId="7A183288" w14:textId="77777777" w:rsidR="00822F50" w:rsidRDefault="00822F50" w:rsidP="00822F50">
      <w:pPr>
        <w:pStyle w:val="Paragraph"/>
      </w:pPr>
    </w:p>
    <w:p w14:paraId="6FA5733F" w14:textId="77777777" w:rsidR="00822F50" w:rsidRDefault="00822F50" w:rsidP="00822F50">
      <w:pPr>
        <w:pStyle w:val="Paragraph"/>
      </w:pPr>
    </w:p>
    <w:p w14:paraId="28DF8F6C" w14:textId="0D57780E" w:rsidR="00822F50" w:rsidRPr="001B1B82" w:rsidRDefault="00822F50" w:rsidP="00822F50">
      <w:pPr>
        <w:pStyle w:val="Paragraph"/>
        <w:rPr>
          <w:b/>
          <w:sz w:val="20"/>
          <w:szCs w:val="22"/>
        </w:rPr>
      </w:pPr>
      <w:r>
        <w:lastRenderedPageBreak/>
        <w:br/>
      </w:r>
      <w:r>
        <w:br/>
      </w:r>
      <w:bookmarkEnd w:id="1"/>
      <w:r w:rsidRPr="001B1B82">
        <w:rPr>
          <w:b/>
          <w:sz w:val="22"/>
        </w:rPr>
        <w:t>Table 2: Indoor and Outdoor Consumptive Use Estimates by Subbasin (“baseline growth”)</w:t>
      </w:r>
    </w:p>
    <w:tbl>
      <w:tblPr>
        <w:tblW w:w="59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door and Outdoor Consumptive Use Estimates by Subbasin"/>
      </w:tblPr>
      <w:tblGrid>
        <w:gridCol w:w="1594"/>
        <w:gridCol w:w="1128"/>
        <w:gridCol w:w="1083"/>
        <w:gridCol w:w="1083"/>
        <w:gridCol w:w="1083"/>
      </w:tblGrid>
      <w:tr w:rsidR="00822F50" w:rsidRPr="007B3192" w14:paraId="6EFC6752" w14:textId="77777777" w:rsidTr="00822F50">
        <w:trPr>
          <w:trHeight w:val="1050"/>
        </w:trPr>
        <w:tc>
          <w:tcPr>
            <w:tcW w:w="1594" w:type="dxa"/>
            <w:shd w:val="clear" w:color="auto" w:fill="auto"/>
            <w:vAlign w:val="bottom"/>
            <w:hideMark/>
          </w:tcPr>
          <w:p w14:paraId="238DE778" w14:textId="77777777" w:rsidR="00822F50" w:rsidRPr="00F76788" w:rsidRDefault="00822F50" w:rsidP="00D10FA1">
            <w:pPr>
              <w:pStyle w:val="TableParagraph"/>
              <w:rPr>
                <w:b/>
              </w:rPr>
            </w:pPr>
            <w:r w:rsidRPr="00F76788">
              <w:rPr>
                <w:b/>
              </w:rPr>
              <w:t>Subbasin</w:t>
            </w:r>
          </w:p>
        </w:tc>
        <w:tc>
          <w:tcPr>
            <w:tcW w:w="1128" w:type="dxa"/>
            <w:shd w:val="clear" w:color="auto" w:fill="auto"/>
            <w:vAlign w:val="bottom"/>
            <w:hideMark/>
          </w:tcPr>
          <w:p w14:paraId="15F5BA24" w14:textId="77777777" w:rsidR="00822F50" w:rsidRPr="00F76788" w:rsidRDefault="00822F50" w:rsidP="00D10FA1">
            <w:pPr>
              <w:pStyle w:val="TableParagraph"/>
              <w:rPr>
                <w:b/>
              </w:rPr>
            </w:pPr>
            <w:r w:rsidRPr="00F76788">
              <w:rPr>
                <w:b/>
              </w:rPr>
              <w:t>Projected PE wells</w:t>
            </w:r>
          </w:p>
        </w:tc>
        <w:tc>
          <w:tcPr>
            <w:tcW w:w="1083" w:type="dxa"/>
            <w:shd w:val="clear" w:color="auto" w:fill="auto"/>
            <w:vAlign w:val="bottom"/>
            <w:hideMark/>
          </w:tcPr>
          <w:p w14:paraId="0EF2BEDD" w14:textId="77777777" w:rsidR="00822F50" w:rsidRPr="00F76788" w:rsidRDefault="00822F50" w:rsidP="00D10FA1">
            <w:pPr>
              <w:pStyle w:val="TableParagraph"/>
              <w:rPr>
                <w:b/>
              </w:rPr>
            </w:pPr>
            <w:r w:rsidRPr="00F76788">
              <w:rPr>
                <w:b/>
              </w:rPr>
              <w:t>Indoor CU (AF/y</w:t>
            </w:r>
            <w:r>
              <w:rPr>
                <w:b/>
              </w:rPr>
              <w:t>ea</w:t>
            </w:r>
            <w:r w:rsidRPr="00F76788">
              <w:rPr>
                <w:b/>
              </w:rPr>
              <w:t>r)</w:t>
            </w:r>
          </w:p>
        </w:tc>
        <w:tc>
          <w:tcPr>
            <w:tcW w:w="1083" w:type="dxa"/>
            <w:shd w:val="clear" w:color="auto" w:fill="auto"/>
            <w:vAlign w:val="bottom"/>
            <w:hideMark/>
          </w:tcPr>
          <w:p w14:paraId="1190D837" w14:textId="77777777" w:rsidR="00822F50" w:rsidRPr="00F76788" w:rsidRDefault="00822F50" w:rsidP="00D10FA1">
            <w:pPr>
              <w:pStyle w:val="TableParagraph"/>
              <w:rPr>
                <w:b/>
              </w:rPr>
            </w:pPr>
            <w:r w:rsidRPr="00F76788">
              <w:rPr>
                <w:b/>
              </w:rPr>
              <w:t>Outdoor CU (AF/y</w:t>
            </w:r>
            <w:r>
              <w:rPr>
                <w:b/>
              </w:rPr>
              <w:t>ea</w:t>
            </w:r>
            <w:r w:rsidRPr="00F76788">
              <w:rPr>
                <w:b/>
              </w:rPr>
              <w:t>r)</w:t>
            </w:r>
          </w:p>
        </w:tc>
        <w:tc>
          <w:tcPr>
            <w:tcW w:w="1083" w:type="dxa"/>
            <w:shd w:val="clear" w:color="auto" w:fill="auto"/>
            <w:vAlign w:val="bottom"/>
            <w:hideMark/>
          </w:tcPr>
          <w:p w14:paraId="7CC364BB" w14:textId="77777777" w:rsidR="00822F50" w:rsidRPr="00F76788" w:rsidRDefault="00822F50" w:rsidP="00D10FA1">
            <w:pPr>
              <w:pStyle w:val="TableParagraph"/>
              <w:rPr>
                <w:b/>
              </w:rPr>
            </w:pPr>
            <w:r w:rsidRPr="00F76788">
              <w:rPr>
                <w:b/>
              </w:rPr>
              <w:t>Total CU/year (AF/year) in 2038</w:t>
            </w:r>
          </w:p>
        </w:tc>
      </w:tr>
      <w:tr w:rsidR="00822F50" w:rsidRPr="007B3192" w14:paraId="312E7B20" w14:textId="77777777" w:rsidTr="00822F50">
        <w:trPr>
          <w:trHeight w:val="300"/>
        </w:trPr>
        <w:tc>
          <w:tcPr>
            <w:tcW w:w="1594" w:type="dxa"/>
            <w:shd w:val="clear" w:color="auto" w:fill="auto"/>
            <w:vAlign w:val="center"/>
            <w:hideMark/>
          </w:tcPr>
          <w:p w14:paraId="6414ABB3" w14:textId="77777777" w:rsidR="00822F50" w:rsidRPr="00F76788" w:rsidRDefault="00822F50" w:rsidP="00D10FA1">
            <w:pPr>
              <w:pStyle w:val="TableParagraph"/>
              <w:rPr>
                <w:b/>
              </w:rPr>
            </w:pPr>
            <w:r w:rsidRPr="00F76788">
              <w:rPr>
                <w:b/>
              </w:rPr>
              <w:t>Case</w:t>
            </w:r>
          </w:p>
        </w:tc>
        <w:tc>
          <w:tcPr>
            <w:tcW w:w="1128" w:type="dxa"/>
            <w:shd w:val="clear" w:color="auto" w:fill="auto"/>
            <w:vAlign w:val="center"/>
            <w:hideMark/>
          </w:tcPr>
          <w:p w14:paraId="080BD60F" w14:textId="77777777" w:rsidR="00822F50" w:rsidRPr="007B3192" w:rsidRDefault="00822F50" w:rsidP="00D10FA1">
            <w:pPr>
              <w:pStyle w:val="TableParagraph"/>
            </w:pPr>
            <w:r w:rsidRPr="007B3192">
              <w:t>418</w:t>
            </w:r>
          </w:p>
        </w:tc>
        <w:tc>
          <w:tcPr>
            <w:tcW w:w="1083" w:type="dxa"/>
            <w:shd w:val="clear" w:color="auto" w:fill="auto"/>
            <w:vAlign w:val="center"/>
            <w:hideMark/>
          </w:tcPr>
          <w:p w14:paraId="491FC3BB" w14:textId="77777777" w:rsidR="00822F50" w:rsidRPr="007B3192" w:rsidRDefault="00822F50" w:rsidP="00D10FA1">
            <w:pPr>
              <w:pStyle w:val="TableParagraph"/>
            </w:pPr>
            <w:r w:rsidRPr="007B3192">
              <w:t>7.0</w:t>
            </w:r>
          </w:p>
        </w:tc>
        <w:tc>
          <w:tcPr>
            <w:tcW w:w="1083" w:type="dxa"/>
            <w:shd w:val="clear" w:color="auto" w:fill="auto"/>
            <w:vAlign w:val="center"/>
            <w:hideMark/>
          </w:tcPr>
          <w:p w14:paraId="62A4C54F" w14:textId="77777777" w:rsidR="00822F50" w:rsidRPr="007B3192" w:rsidRDefault="00822F50" w:rsidP="00D10FA1">
            <w:pPr>
              <w:pStyle w:val="TableParagraph"/>
            </w:pPr>
            <w:r w:rsidRPr="007B3192">
              <w:t>66.9</w:t>
            </w:r>
          </w:p>
        </w:tc>
        <w:tc>
          <w:tcPr>
            <w:tcW w:w="1083" w:type="dxa"/>
            <w:shd w:val="clear" w:color="auto" w:fill="auto"/>
            <w:vAlign w:val="center"/>
            <w:hideMark/>
          </w:tcPr>
          <w:p w14:paraId="66324283" w14:textId="77777777" w:rsidR="00822F50" w:rsidRPr="007B3192" w:rsidRDefault="00822F50" w:rsidP="00D10FA1">
            <w:pPr>
              <w:pStyle w:val="TableParagraph"/>
            </w:pPr>
            <w:r w:rsidRPr="007B3192">
              <w:t>73.9</w:t>
            </w:r>
          </w:p>
        </w:tc>
      </w:tr>
      <w:tr w:rsidR="00822F50" w:rsidRPr="007B3192" w14:paraId="6D14EBB9" w14:textId="77777777" w:rsidTr="00822F50">
        <w:trPr>
          <w:trHeight w:val="300"/>
        </w:trPr>
        <w:tc>
          <w:tcPr>
            <w:tcW w:w="1594" w:type="dxa"/>
            <w:shd w:val="clear" w:color="auto" w:fill="auto"/>
            <w:vAlign w:val="center"/>
            <w:hideMark/>
          </w:tcPr>
          <w:p w14:paraId="5F3644CD" w14:textId="77777777" w:rsidR="00822F50" w:rsidRPr="00F76788" w:rsidRDefault="00822F50" w:rsidP="00D10FA1">
            <w:pPr>
              <w:pStyle w:val="TableParagraph"/>
              <w:rPr>
                <w:b/>
              </w:rPr>
            </w:pPr>
            <w:r w:rsidRPr="00F76788">
              <w:rPr>
                <w:b/>
              </w:rPr>
              <w:t>Goldsborough</w:t>
            </w:r>
          </w:p>
        </w:tc>
        <w:tc>
          <w:tcPr>
            <w:tcW w:w="1128" w:type="dxa"/>
            <w:shd w:val="clear" w:color="auto" w:fill="auto"/>
            <w:vAlign w:val="center"/>
            <w:hideMark/>
          </w:tcPr>
          <w:p w14:paraId="3FFA65EF" w14:textId="77777777" w:rsidR="00822F50" w:rsidRPr="007B3192" w:rsidRDefault="00822F50" w:rsidP="00D10FA1">
            <w:pPr>
              <w:pStyle w:val="TableParagraph"/>
            </w:pPr>
            <w:r w:rsidRPr="007B3192">
              <w:t>509</w:t>
            </w:r>
          </w:p>
        </w:tc>
        <w:tc>
          <w:tcPr>
            <w:tcW w:w="1083" w:type="dxa"/>
            <w:shd w:val="clear" w:color="auto" w:fill="auto"/>
            <w:vAlign w:val="center"/>
            <w:hideMark/>
          </w:tcPr>
          <w:p w14:paraId="0425462A" w14:textId="77777777" w:rsidR="00822F50" w:rsidRPr="007B3192" w:rsidRDefault="00822F50" w:rsidP="00D10FA1">
            <w:pPr>
              <w:pStyle w:val="TableParagraph"/>
            </w:pPr>
            <w:r w:rsidRPr="007B3192">
              <w:t>8.6</w:t>
            </w:r>
          </w:p>
        </w:tc>
        <w:tc>
          <w:tcPr>
            <w:tcW w:w="1083" w:type="dxa"/>
            <w:shd w:val="clear" w:color="auto" w:fill="auto"/>
            <w:vAlign w:val="center"/>
            <w:hideMark/>
          </w:tcPr>
          <w:p w14:paraId="25015F8C" w14:textId="77777777" w:rsidR="00822F50" w:rsidRPr="007B3192" w:rsidRDefault="00822F50" w:rsidP="00D10FA1">
            <w:pPr>
              <w:pStyle w:val="TableParagraph"/>
            </w:pPr>
            <w:r w:rsidRPr="007B3192">
              <w:t>81.4</w:t>
            </w:r>
          </w:p>
        </w:tc>
        <w:tc>
          <w:tcPr>
            <w:tcW w:w="1083" w:type="dxa"/>
            <w:shd w:val="clear" w:color="auto" w:fill="auto"/>
            <w:vAlign w:val="center"/>
            <w:hideMark/>
          </w:tcPr>
          <w:p w14:paraId="40BB50BB" w14:textId="77777777" w:rsidR="00822F50" w:rsidRPr="007B3192" w:rsidRDefault="00822F50" w:rsidP="00D10FA1">
            <w:pPr>
              <w:pStyle w:val="TableParagraph"/>
            </w:pPr>
            <w:r w:rsidRPr="007B3192">
              <w:t>90.0</w:t>
            </w:r>
          </w:p>
        </w:tc>
      </w:tr>
      <w:tr w:rsidR="00822F50" w:rsidRPr="007B3192" w14:paraId="15B99E06" w14:textId="77777777" w:rsidTr="00822F50">
        <w:trPr>
          <w:trHeight w:val="300"/>
        </w:trPr>
        <w:tc>
          <w:tcPr>
            <w:tcW w:w="1594" w:type="dxa"/>
            <w:shd w:val="clear" w:color="auto" w:fill="auto"/>
            <w:vAlign w:val="center"/>
            <w:hideMark/>
          </w:tcPr>
          <w:p w14:paraId="56A41796" w14:textId="77777777" w:rsidR="00822F50" w:rsidRPr="00F76788" w:rsidRDefault="00822F50" w:rsidP="00D10FA1">
            <w:pPr>
              <w:pStyle w:val="TableParagraph"/>
              <w:rPr>
                <w:b/>
              </w:rPr>
            </w:pPr>
            <w:r w:rsidRPr="00F76788">
              <w:rPr>
                <w:b/>
              </w:rPr>
              <w:t>Harstine</w:t>
            </w:r>
          </w:p>
        </w:tc>
        <w:tc>
          <w:tcPr>
            <w:tcW w:w="1128" w:type="dxa"/>
            <w:shd w:val="clear" w:color="auto" w:fill="auto"/>
            <w:vAlign w:val="center"/>
            <w:hideMark/>
          </w:tcPr>
          <w:p w14:paraId="7029A73D" w14:textId="77777777" w:rsidR="00822F50" w:rsidRPr="007B3192" w:rsidRDefault="00822F50" w:rsidP="00D10FA1">
            <w:pPr>
              <w:pStyle w:val="TableParagraph"/>
            </w:pPr>
            <w:r w:rsidRPr="007B3192">
              <w:t>143</w:t>
            </w:r>
          </w:p>
        </w:tc>
        <w:tc>
          <w:tcPr>
            <w:tcW w:w="1083" w:type="dxa"/>
            <w:shd w:val="clear" w:color="auto" w:fill="auto"/>
            <w:vAlign w:val="center"/>
            <w:hideMark/>
          </w:tcPr>
          <w:p w14:paraId="0901AF86" w14:textId="77777777" w:rsidR="00822F50" w:rsidRPr="007B3192" w:rsidRDefault="00822F50" w:rsidP="00D10FA1">
            <w:pPr>
              <w:pStyle w:val="TableParagraph"/>
            </w:pPr>
            <w:r w:rsidRPr="007B3192">
              <w:t>2.4</w:t>
            </w:r>
          </w:p>
        </w:tc>
        <w:tc>
          <w:tcPr>
            <w:tcW w:w="1083" w:type="dxa"/>
            <w:shd w:val="clear" w:color="auto" w:fill="auto"/>
            <w:vAlign w:val="center"/>
            <w:hideMark/>
          </w:tcPr>
          <w:p w14:paraId="20B74B93" w14:textId="77777777" w:rsidR="00822F50" w:rsidRPr="007B3192" w:rsidRDefault="00822F50" w:rsidP="00D10FA1">
            <w:pPr>
              <w:pStyle w:val="TableParagraph"/>
            </w:pPr>
            <w:r w:rsidRPr="007B3192">
              <w:t>22.9</w:t>
            </w:r>
          </w:p>
        </w:tc>
        <w:tc>
          <w:tcPr>
            <w:tcW w:w="1083" w:type="dxa"/>
            <w:shd w:val="clear" w:color="auto" w:fill="auto"/>
            <w:vAlign w:val="center"/>
            <w:hideMark/>
          </w:tcPr>
          <w:p w14:paraId="32DAFA1B" w14:textId="77777777" w:rsidR="00822F50" w:rsidRPr="007B3192" w:rsidRDefault="00822F50" w:rsidP="00D10FA1">
            <w:pPr>
              <w:pStyle w:val="TableParagraph"/>
            </w:pPr>
            <w:r w:rsidRPr="007B3192">
              <w:t>25.3</w:t>
            </w:r>
          </w:p>
        </w:tc>
      </w:tr>
      <w:tr w:rsidR="00822F50" w:rsidRPr="007B3192" w14:paraId="503EF66A" w14:textId="77777777" w:rsidTr="00822F50">
        <w:trPr>
          <w:trHeight w:val="300"/>
        </w:trPr>
        <w:tc>
          <w:tcPr>
            <w:tcW w:w="1594" w:type="dxa"/>
            <w:shd w:val="clear" w:color="auto" w:fill="auto"/>
            <w:vAlign w:val="center"/>
            <w:hideMark/>
          </w:tcPr>
          <w:p w14:paraId="0CF01936" w14:textId="77777777" w:rsidR="00822F50" w:rsidRPr="00F76788" w:rsidRDefault="00822F50" w:rsidP="00D10FA1">
            <w:pPr>
              <w:pStyle w:val="TableParagraph"/>
              <w:rPr>
                <w:b/>
              </w:rPr>
            </w:pPr>
            <w:r w:rsidRPr="00F76788">
              <w:rPr>
                <w:b/>
              </w:rPr>
              <w:t>Hood</w:t>
            </w:r>
          </w:p>
        </w:tc>
        <w:tc>
          <w:tcPr>
            <w:tcW w:w="1128" w:type="dxa"/>
            <w:shd w:val="clear" w:color="auto" w:fill="auto"/>
            <w:vAlign w:val="center"/>
            <w:hideMark/>
          </w:tcPr>
          <w:p w14:paraId="7203D59A" w14:textId="77777777" w:rsidR="00822F50" w:rsidRPr="007B3192" w:rsidRDefault="00822F50" w:rsidP="00D10FA1">
            <w:pPr>
              <w:pStyle w:val="TableParagraph"/>
            </w:pPr>
            <w:r w:rsidRPr="007B3192">
              <w:t>74</w:t>
            </w:r>
          </w:p>
        </w:tc>
        <w:tc>
          <w:tcPr>
            <w:tcW w:w="1083" w:type="dxa"/>
            <w:shd w:val="clear" w:color="auto" w:fill="auto"/>
            <w:vAlign w:val="center"/>
            <w:hideMark/>
          </w:tcPr>
          <w:p w14:paraId="18265C80" w14:textId="77777777" w:rsidR="00822F50" w:rsidRPr="007B3192" w:rsidRDefault="00822F50" w:rsidP="00D10FA1">
            <w:pPr>
              <w:pStyle w:val="TableParagraph"/>
            </w:pPr>
            <w:r w:rsidRPr="007B3192">
              <w:t>1.2</w:t>
            </w:r>
          </w:p>
        </w:tc>
        <w:tc>
          <w:tcPr>
            <w:tcW w:w="1083" w:type="dxa"/>
            <w:shd w:val="clear" w:color="auto" w:fill="auto"/>
            <w:vAlign w:val="center"/>
            <w:hideMark/>
          </w:tcPr>
          <w:p w14:paraId="12B74F2D" w14:textId="77777777" w:rsidR="00822F50" w:rsidRPr="007B3192" w:rsidRDefault="00822F50" w:rsidP="00D10FA1">
            <w:pPr>
              <w:pStyle w:val="TableParagraph"/>
            </w:pPr>
            <w:r w:rsidRPr="007B3192">
              <w:t>11.8</w:t>
            </w:r>
          </w:p>
        </w:tc>
        <w:tc>
          <w:tcPr>
            <w:tcW w:w="1083" w:type="dxa"/>
            <w:shd w:val="clear" w:color="auto" w:fill="auto"/>
            <w:vAlign w:val="center"/>
            <w:hideMark/>
          </w:tcPr>
          <w:p w14:paraId="1D653F6D" w14:textId="77777777" w:rsidR="00822F50" w:rsidRPr="007B3192" w:rsidRDefault="00822F50" w:rsidP="00D10FA1">
            <w:pPr>
              <w:pStyle w:val="TableParagraph"/>
            </w:pPr>
            <w:r w:rsidRPr="007B3192">
              <w:t>13.1</w:t>
            </w:r>
          </w:p>
        </w:tc>
      </w:tr>
      <w:tr w:rsidR="00822F50" w:rsidRPr="007B3192" w14:paraId="44D61B6B" w14:textId="77777777" w:rsidTr="00822F50">
        <w:trPr>
          <w:trHeight w:val="300"/>
        </w:trPr>
        <w:tc>
          <w:tcPr>
            <w:tcW w:w="1594" w:type="dxa"/>
            <w:shd w:val="clear" w:color="auto" w:fill="auto"/>
            <w:vAlign w:val="center"/>
            <w:hideMark/>
          </w:tcPr>
          <w:p w14:paraId="1A8014BB" w14:textId="77777777" w:rsidR="00822F50" w:rsidRPr="00F76788" w:rsidRDefault="00822F50" w:rsidP="00D10FA1">
            <w:pPr>
              <w:pStyle w:val="TableParagraph"/>
              <w:rPr>
                <w:b/>
              </w:rPr>
            </w:pPr>
            <w:r w:rsidRPr="00F76788">
              <w:rPr>
                <w:b/>
              </w:rPr>
              <w:t>Kennedy</w:t>
            </w:r>
          </w:p>
        </w:tc>
        <w:tc>
          <w:tcPr>
            <w:tcW w:w="1128" w:type="dxa"/>
            <w:shd w:val="clear" w:color="auto" w:fill="auto"/>
            <w:vAlign w:val="center"/>
            <w:hideMark/>
          </w:tcPr>
          <w:p w14:paraId="3EA803B4" w14:textId="77777777" w:rsidR="00822F50" w:rsidRPr="007B3192" w:rsidRDefault="00822F50" w:rsidP="00D10FA1">
            <w:pPr>
              <w:pStyle w:val="TableParagraph"/>
            </w:pPr>
            <w:r w:rsidRPr="007B3192">
              <w:t>556</w:t>
            </w:r>
          </w:p>
        </w:tc>
        <w:tc>
          <w:tcPr>
            <w:tcW w:w="1083" w:type="dxa"/>
            <w:shd w:val="clear" w:color="auto" w:fill="auto"/>
            <w:vAlign w:val="center"/>
            <w:hideMark/>
          </w:tcPr>
          <w:p w14:paraId="4EA2EBF4" w14:textId="77777777" w:rsidR="00822F50" w:rsidRPr="007B3192" w:rsidRDefault="00822F50" w:rsidP="00D10FA1">
            <w:pPr>
              <w:pStyle w:val="TableParagraph"/>
            </w:pPr>
            <w:r w:rsidRPr="007B3192">
              <w:t>9.3</w:t>
            </w:r>
          </w:p>
        </w:tc>
        <w:tc>
          <w:tcPr>
            <w:tcW w:w="1083" w:type="dxa"/>
            <w:shd w:val="clear" w:color="auto" w:fill="auto"/>
            <w:vAlign w:val="center"/>
            <w:hideMark/>
          </w:tcPr>
          <w:p w14:paraId="5B42C821" w14:textId="77777777" w:rsidR="00822F50" w:rsidRPr="007B3192" w:rsidRDefault="00822F50" w:rsidP="00D10FA1">
            <w:pPr>
              <w:pStyle w:val="TableParagraph"/>
            </w:pPr>
            <w:r w:rsidRPr="007B3192">
              <w:t>89.0</w:t>
            </w:r>
          </w:p>
        </w:tc>
        <w:tc>
          <w:tcPr>
            <w:tcW w:w="1083" w:type="dxa"/>
            <w:shd w:val="clear" w:color="auto" w:fill="auto"/>
            <w:vAlign w:val="center"/>
            <w:hideMark/>
          </w:tcPr>
          <w:p w14:paraId="2C0487AF" w14:textId="77777777" w:rsidR="00822F50" w:rsidRPr="007B3192" w:rsidRDefault="00822F50" w:rsidP="00D10FA1">
            <w:pPr>
              <w:pStyle w:val="TableParagraph"/>
            </w:pPr>
            <w:r w:rsidRPr="007B3192">
              <w:t>98.3</w:t>
            </w:r>
          </w:p>
        </w:tc>
      </w:tr>
      <w:tr w:rsidR="00822F50" w:rsidRPr="007B3192" w14:paraId="6748FA4A" w14:textId="77777777" w:rsidTr="00822F50">
        <w:trPr>
          <w:trHeight w:val="300"/>
        </w:trPr>
        <w:tc>
          <w:tcPr>
            <w:tcW w:w="1594" w:type="dxa"/>
            <w:shd w:val="clear" w:color="auto" w:fill="auto"/>
            <w:vAlign w:val="center"/>
            <w:hideMark/>
          </w:tcPr>
          <w:p w14:paraId="64E69F5A" w14:textId="77777777" w:rsidR="00822F50" w:rsidRPr="00F76788" w:rsidRDefault="00822F50" w:rsidP="00D10FA1">
            <w:pPr>
              <w:pStyle w:val="TableParagraph"/>
              <w:rPr>
                <w:b/>
              </w:rPr>
            </w:pPr>
            <w:r w:rsidRPr="00F76788">
              <w:rPr>
                <w:b/>
              </w:rPr>
              <w:t>Mill</w:t>
            </w:r>
          </w:p>
        </w:tc>
        <w:tc>
          <w:tcPr>
            <w:tcW w:w="1128" w:type="dxa"/>
            <w:shd w:val="clear" w:color="auto" w:fill="auto"/>
            <w:vAlign w:val="center"/>
            <w:hideMark/>
          </w:tcPr>
          <w:p w14:paraId="7E7C2478" w14:textId="77777777" w:rsidR="00822F50" w:rsidRPr="007B3192" w:rsidRDefault="00822F50" w:rsidP="00D10FA1">
            <w:pPr>
              <w:pStyle w:val="TableParagraph"/>
            </w:pPr>
            <w:r w:rsidRPr="007B3192">
              <w:t>462</w:t>
            </w:r>
          </w:p>
        </w:tc>
        <w:tc>
          <w:tcPr>
            <w:tcW w:w="1083" w:type="dxa"/>
            <w:shd w:val="clear" w:color="auto" w:fill="auto"/>
            <w:vAlign w:val="center"/>
            <w:hideMark/>
          </w:tcPr>
          <w:p w14:paraId="7B901B8E" w14:textId="77777777" w:rsidR="00822F50" w:rsidRPr="007B3192" w:rsidRDefault="00822F50" w:rsidP="00D10FA1">
            <w:pPr>
              <w:pStyle w:val="TableParagraph"/>
            </w:pPr>
            <w:r w:rsidRPr="007B3192">
              <w:t>7.8</w:t>
            </w:r>
          </w:p>
        </w:tc>
        <w:tc>
          <w:tcPr>
            <w:tcW w:w="1083" w:type="dxa"/>
            <w:shd w:val="clear" w:color="auto" w:fill="auto"/>
            <w:vAlign w:val="center"/>
            <w:hideMark/>
          </w:tcPr>
          <w:p w14:paraId="627E227A" w14:textId="77777777" w:rsidR="00822F50" w:rsidRPr="007B3192" w:rsidRDefault="00822F50" w:rsidP="00D10FA1">
            <w:pPr>
              <w:pStyle w:val="TableParagraph"/>
            </w:pPr>
            <w:r w:rsidRPr="007B3192">
              <w:t>73.9</w:t>
            </w:r>
          </w:p>
        </w:tc>
        <w:tc>
          <w:tcPr>
            <w:tcW w:w="1083" w:type="dxa"/>
            <w:shd w:val="clear" w:color="auto" w:fill="auto"/>
            <w:vAlign w:val="center"/>
            <w:hideMark/>
          </w:tcPr>
          <w:p w14:paraId="1BFD80F5" w14:textId="77777777" w:rsidR="00822F50" w:rsidRPr="007B3192" w:rsidRDefault="00822F50" w:rsidP="00D10FA1">
            <w:pPr>
              <w:pStyle w:val="TableParagraph"/>
            </w:pPr>
            <w:r w:rsidRPr="007B3192">
              <w:t>81.7</w:t>
            </w:r>
          </w:p>
        </w:tc>
      </w:tr>
      <w:tr w:rsidR="00822F50" w:rsidRPr="007B3192" w14:paraId="36BDA8BD" w14:textId="77777777" w:rsidTr="00822F50">
        <w:trPr>
          <w:trHeight w:val="300"/>
        </w:trPr>
        <w:tc>
          <w:tcPr>
            <w:tcW w:w="1594" w:type="dxa"/>
            <w:shd w:val="clear" w:color="auto" w:fill="auto"/>
            <w:vAlign w:val="center"/>
            <w:hideMark/>
          </w:tcPr>
          <w:p w14:paraId="75B6C711" w14:textId="77777777" w:rsidR="00822F50" w:rsidRPr="00F76788" w:rsidRDefault="00822F50" w:rsidP="00D10FA1">
            <w:pPr>
              <w:pStyle w:val="TableParagraph"/>
              <w:rPr>
                <w:b/>
              </w:rPr>
            </w:pPr>
            <w:r w:rsidRPr="00F76788">
              <w:rPr>
                <w:b/>
              </w:rPr>
              <w:t>Oakland</w:t>
            </w:r>
          </w:p>
        </w:tc>
        <w:tc>
          <w:tcPr>
            <w:tcW w:w="1128" w:type="dxa"/>
            <w:shd w:val="clear" w:color="auto" w:fill="auto"/>
            <w:vAlign w:val="center"/>
            <w:hideMark/>
          </w:tcPr>
          <w:p w14:paraId="7FFFBD60" w14:textId="77777777" w:rsidR="00822F50" w:rsidRPr="007B3192" w:rsidRDefault="00822F50" w:rsidP="00D10FA1">
            <w:pPr>
              <w:pStyle w:val="TableParagraph"/>
            </w:pPr>
            <w:r w:rsidRPr="007B3192">
              <w:t>1</w:t>
            </w:r>
            <w:r>
              <w:t>,</w:t>
            </w:r>
            <w:r w:rsidRPr="007B3192">
              <w:t>481</w:t>
            </w:r>
          </w:p>
        </w:tc>
        <w:tc>
          <w:tcPr>
            <w:tcW w:w="1083" w:type="dxa"/>
            <w:shd w:val="clear" w:color="auto" w:fill="auto"/>
            <w:vAlign w:val="center"/>
            <w:hideMark/>
          </w:tcPr>
          <w:p w14:paraId="111102CA" w14:textId="77777777" w:rsidR="00822F50" w:rsidRPr="007B3192" w:rsidRDefault="00822F50" w:rsidP="00D10FA1">
            <w:pPr>
              <w:pStyle w:val="TableParagraph"/>
            </w:pPr>
            <w:r w:rsidRPr="007B3192">
              <w:t>24.9</w:t>
            </w:r>
          </w:p>
        </w:tc>
        <w:tc>
          <w:tcPr>
            <w:tcW w:w="1083" w:type="dxa"/>
            <w:shd w:val="clear" w:color="auto" w:fill="auto"/>
            <w:vAlign w:val="center"/>
            <w:hideMark/>
          </w:tcPr>
          <w:p w14:paraId="54A4BD0C" w14:textId="77777777" w:rsidR="00822F50" w:rsidRPr="007B3192" w:rsidRDefault="00822F50" w:rsidP="00D10FA1">
            <w:pPr>
              <w:pStyle w:val="TableParagraph"/>
            </w:pPr>
            <w:r w:rsidRPr="007B3192">
              <w:t>237.0</w:t>
            </w:r>
          </w:p>
        </w:tc>
        <w:tc>
          <w:tcPr>
            <w:tcW w:w="1083" w:type="dxa"/>
            <w:shd w:val="clear" w:color="auto" w:fill="auto"/>
            <w:vAlign w:val="center"/>
            <w:hideMark/>
          </w:tcPr>
          <w:p w14:paraId="4EF56201" w14:textId="77777777" w:rsidR="00822F50" w:rsidRPr="007B3192" w:rsidRDefault="00822F50" w:rsidP="00D10FA1">
            <w:pPr>
              <w:pStyle w:val="TableParagraph"/>
            </w:pPr>
            <w:r w:rsidRPr="007B3192">
              <w:t>261.8</w:t>
            </w:r>
          </w:p>
        </w:tc>
      </w:tr>
      <w:tr w:rsidR="00822F50" w:rsidRPr="007B3192" w14:paraId="40EBC912" w14:textId="77777777" w:rsidTr="00822F50">
        <w:trPr>
          <w:trHeight w:val="300"/>
        </w:trPr>
        <w:tc>
          <w:tcPr>
            <w:tcW w:w="1594" w:type="dxa"/>
            <w:shd w:val="clear" w:color="auto" w:fill="auto"/>
            <w:vAlign w:val="center"/>
            <w:hideMark/>
          </w:tcPr>
          <w:p w14:paraId="24FF357A" w14:textId="77777777" w:rsidR="00822F50" w:rsidRPr="00F76788" w:rsidRDefault="00822F50" w:rsidP="00D10FA1">
            <w:pPr>
              <w:pStyle w:val="TableParagraph"/>
              <w:rPr>
                <w:b/>
              </w:rPr>
            </w:pPr>
            <w:r w:rsidRPr="00F76788">
              <w:rPr>
                <w:b/>
              </w:rPr>
              <w:t>Skookum</w:t>
            </w:r>
          </w:p>
        </w:tc>
        <w:tc>
          <w:tcPr>
            <w:tcW w:w="1128" w:type="dxa"/>
            <w:shd w:val="clear" w:color="auto" w:fill="auto"/>
            <w:vAlign w:val="center"/>
            <w:hideMark/>
          </w:tcPr>
          <w:p w14:paraId="6DB3427D" w14:textId="77777777" w:rsidR="00822F50" w:rsidRPr="007B3192" w:rsidRDefault="00822F50" w:rsidP="00D10FA1">
            <w:pPr>
              <w:pStyle w:val="TableParagraph"/>
            </w:pPr>
            <w:r w:rsidRPr="007B3192">
              <w:t>363</w:t>
            </w:r>
          </w:p>
        </w:tc>
        <w:tc>
          <w:tcPr>
            <w:tcW w:w="1083" w:type="dxa"/>
            <w:shd w:val="clear" w:color="auto" w:fill="auto"/>
            <w:vAlign w:val="center"/>
            <w:hideMark/>
          </w:tcPr>
          <w:p w14:paraId="110AA5F5" w14:textId="77777777" w:rsidR="00822F50" w:rsidRPr="007B3192" w:rsidRDefault="00822F50" w:rsidP="00D10FA1">
            <w:pPr>
              <w:pStyle w:val="TableParagraph"/>
            </w:pPr>
            <w:r w:rsidRPr="007B3192">
              <w:t>6.1</w:t>
            </w:r>
          </w:p>
        </w:tc>
        <w:tc>
          <w:tcPr>
            <w:tcW w:w="1083" w:type="dxa"/>
            <w:shd w:val="clear" w:color="auto" w:fill="auto"/>
            <w:vAlign w:val="center"/>
            <w:hideMark/>
          </w:tcPr>
          <w:p w14:paraId="608D54E2" w14:textId="77777777" w:rsidR="00822F50" w:rsidRPr="007B3192" w:rsidRDefault="00822F50" w:rsidP="00D10FA1">
            <w:pPr>
              <w:pStyle w:val="TableParagraph"/>
            </w:pPr>
            <w:r w:rsidRPr="007B3192">
              <w:t>58.1</w:t>
            </w:r>
          </w:p>
        </w:tc>
        <w:tc>
          <w:tcPr>
            <w:tcW w:w="1083" w:type="dxa"/>
            <w:shd w:val="clear" w:color="auto" w:fill="auto"/>
            <w:vAlign w:val="center"/>
            <w:hideMark/>
          </w:tcPr>
          <w:p w14:paraId="28FE5ABD" w14:textId="77777777" w:rsidR="00822F50" w:rsidRPr="007B3192" w:rsidRDefault="00822F50" w:rsidP="00D10FA1">
            <w:pPr>
              <w:pStyle w:val="TableParagraph"/>
            </w:pPr>
            <w:r w:rsidRPr="007B3192">
              <w:t>64.2</w:t>
            </w:r>
          </w:p>
        </w:tc>
      </w:tr>
      <w:tr w:rsidR="00822F50" w:rsidRPr="007B3192" w14:paraId="3EF51692" w14:textId="77777777" w:rsidTr="00822F50">
        <w:trPr>
          <w:trHeight w:val="300"/>
        </w:trPr>
        <w:tc>
          <w:tcPr>
            <w:tcW w:w="1594" w:type="dxa"/>
            <w:shd w:val="clear" w:color="auto" w:fill="auto"/>
            <w:vAlign w:val="center"/>
            <w:hideMark/>
          </w:tcPr>
          <w:p w14:paraId="308D8B29" w14:textId="77777777" w:rsidR="00822F50" w:rsidRPr="00F76788" w:rsidRDefault="00822F50" w:rsidP="00D10FA1">
            <w:pPr>
              <w:pStyle w:val="TableParagraph"/>
              <w:rPr>
                <w:b/>
              </w:rPr>
            </w:pPr>
            <w:r w:rsidRPr="00F76788">
              <w:rPr>
                <w:b/>
              </w:rPr>
              <w:t>TOTAL</w:t>
            </w:r>
          </w:p>
        </w:tc>
        <w:tc>
          <w:tcPr>
            <w:tcW w:w="1128" w:type="dxa"/>
            <w:shd w:val="clear" w:color="auto" w:fill="auto"/>
            <w:vAlign w:val="center"/>
            <w:hideMark/>
          </w:tcPr>
          <w:p w14:paraId="412072A5" w14:textId="77777777" w:rsidR="00822F50" w:rsidRPr="007B3192" w:rsidRDefault="00822F50" w:rsidP="00D10FA1">
            <w:pPr>
              <w:pStyle w:val="TableParagraph"/>
            </w:pPr>
            <w:r w:rsidRPr="007B3192">
              <w:t>4</w:t>
            </w:r>
            <w:r>
              <w:t>,</w:t>
            </w:r>
            <w:r w:rsidRPr="007B3192">
              <w:t>006</w:t>
            </w:r>
          </w:p>
        </w:tc>
        <w:tc>
          <w:tcPr>
            <w:tcW w:w="1083" w:type="dxa"/>
            <w:shd w:val="clear" w:color="auto" w:fill="auto"/>
            <w:vAlign w:val="center"/>
            <w:hideMark/>
          </w:tcPr>
          <w:p w14:paraId="14DAFA1D" w14:textId="77777777" w:rsidR="00822F50" w:rsidRPr="007B3192" w:rsidRDefault="00822F50" w:rsidP="00D10FA1">
            <w:pPr>
              <w:pStyle w:val="TableParagraph"/>
            </w:pPr>
            <w:r w:rsidRPr="007B3192">
              <w:t>67</w:t>
            </w:r>
          </w:p>
        </w:tc>
        <w:tc>
          <w:tcPr>
            <w:tcW w:w="1083" w:type="dxa"/>
            <w:shd w:val="clear" w:color="auto" w:fill="auto"/>
            <w:vAlign w:val="center"/>
            <w:hideMark/>
          </w:tcPr>
          <w:p w14:paraId="2FB9D9AB" w14:textId="77777777" w:rsidR="00822F50" w:rsidRPr="007B3192" w:rsidRDefault="00822F50" w:rsidP="00D10FA1">
            <w:pPr>
              <w:pStyle w:val="TableParagraph"/>
            </w:pPr>
            <w:r w:rsidRPr="007B3192">
              <w:t>641</w:t>
            </w:r>
          </w:p>
        </w:tc>
        <w:tc>
          <w:tcPr>
            <w:tcW w:w="1083" w:type="dxa"/>
            <w:shd w:val="clear" w:color="auto" w:fill="auto"/>
            <w:vAlign w:val="center"/>
            <w:hideMark/>
          </w:tcPr>
          <w:p w14:paraId="07E03244" w14:textId="77777777" w:rsidR="00822F50" w:rsidRPr="007B3192" w:rsidRDefault="00822F50" w:rsidP="00D10FA1">
            <w:pPr>
              <w:pStyle w:val="TableParagraph"/>
            </w:pPr>
            <w:r w:rsidRPr="007B3192">
              <w:t>708.3</w:t>
            </w:r>
          </w:p>
        </w:tc>
      </w:tr>
    </w:tbl>
    <w:p w14:paraId="1340AD5C" w14:textId="4D74A271" w:rsidR="00822F50" w:rsidRPr="001B1B82" w:rsidRDefault="00822F50" w:rsidP="00822F50">
      <w:pPr>
        <w:pStyle w:val="TableCaption"/>
        <w:rPr>
          <w:rFonts w:asciiTheme="minorHAnsi" w:hAnsiTheme="minorHAnsi" w:cstheme="minorHAnsi"/>
        </w:rPr>
      </w:pPr>
      <w:r w:rsidRPr="001B1B82">
        <w:rPr>
          <w:rFonts w:asciiTheme="minorHAnsi" w:hAnsiTheme="minorHAnsi" w:cstheme="minorHAnsi"/>
        </w:rPr>
        <w:t>Table 3: Indoor and Outdoor Consumptive Use Estimates by Subbasin (“higher growth”)</w:t>
      </w:r>
    </w:p>
    <w:tbl>
      <w:tblPr>
        <w:tblW w:w="58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128"/>
        <w:gridCol w:w="1083"/>
        <w:gridCol w:w="1083"/>
        <w:gridCol w:w="1083"/>
      </w:tblGrid>
      <w:tr w:rsidR="00822F50" w:rsidRPr="007B3192" w14:paraId="2AD041F9" w14:textId="77777777" w:rsidTr="00D10FA1">
        <w:trPr>
          <w:trHeight w:val="1050"/>
        </w:trPr>
        <w:tc>
          <w:tcPr>
            <w:tcW w:w="1500" w:type="dxa"/>
            <w:shd w:val="clear" w:color="auto" w:fill="auto"/>
            <w:vAlign w:val="bottom"/>
            <w:hideMark/>
          </w:tcPr>
          <w:p w14:paraId="33477119" w14:textId="77777777" w:rsidR="00822F50" w:rsidRPr="00F76788" w:rsidRDefault="00822F50" w:rsidP="00D10FA1">
            <w:pPr>
              <w:pStyle w:val="TableParagraph"/>
              <w:rPr>
                <w:b/>
              </w:rPr>
            </w:pPr>
            <w:r w:rsidRPr="00F76788">
              <w:rPr>
                <w:b/>
              </w:rPr>
              <w:t>Subbasin</w:t>
            </w:r>
          </w:p>
        </w:tc>
        <w:tc>
          <w:tcPr>
            <w:tcW w:w="1080" w:type="dxa"/>
            <w:shd w:val="clear" w:color="auto" w:fill="auto"/>
            <w:vAlign w:val="bottom"/>
            <w:hideMark/>
          </w:tcPr>
          <w:p w14:paraId="56CA9B48" w14:textId="77777777" w:rsidR="00822F50" w:rsidRPr="00F76788" w:rsidRDefault="00822F50" w:rsidP="00D10FA1">
            <w:pPr>
              <w:pStyle w:val="TableParagraph"/>
              <w:rPr>
                <w:b/>
              </w:rPr>
            </w:pPr>
            <w:r w:rsidRPr="00F76788">
              <w:rPr>
                <w:b/>
              </w:rPr>
              <w:t>Projected PE wells</w:t>
            </w:r>
          </w:p>
        </w:tc>
        <w:tc>
          <w:tcPr>
            <w:tcW w:w="1080" w:type="dxa"/>
            <w:shd w:val="clear" w:color="auto" w:fill="auto"/>
            <w:vAlign w:val="bottom"/>
            <w:hideMark/>
          </w:tcPr>
          <w:p w14:paraId="35B3F2C5" w14:textId="77777777" w:rsidR="00822F50" w:rsidRPr="00F76788" w:rsidRDefault="00822F50" w:rsidP="00D10FA1">
            <w:pPr>
              <w:pStyle w:val="TableParagraph"/>
              <w:rPr>
                <w:b/>
              </w:rPr>
            </w:pPr>
            <w:r w:rsidRPr="00F76788">
              <w:rPr>
                <w:b/>
              </w:rPr>
              <w:t>Indoor CU (AF/y</w:t>
            </w:r>
            <w:r>
              <w:rPr>
                <w:b/>
              </w:rPr>
              <w:t>ea</w:t>
            </w:r>
            <w:r w:rsidRPr="00F76788">
              <w:rPr>
                <w:b/>
              </w:rPr>
              <w:t>r)</w:t>
            </w:r>
          </w:p>
        </w:tc>
        <w:tc>
          <w:tcPr>
            <w:tcW w:w="1080" w:type="dxa"/>
            <w:shd w:val="clear" w:color="auto" w:fill="auto"/>
            <w:vAlign w:val="bottom"/>
            <w:hideMark/>
          </w:tcPr>
          <w:p w14:paraId="537552B2" w14:textId="77777777" w:rsidR="00822F50" w:rsidRPr="00F76788" w:rsidRDefault="00822F50" w:rsidP="00D10FA1">
            <w:pPr>
              <w:pStyle w:val="TableParagraph"/>
              <w:rPr>
                <w:b/>
              </w:rPr>
            </w:pPr>
            <w:r w:rsidRPr="00F76788">
              <w:rPr>
                <w:b/>
              </w:rPr>
              <w:t>Outdoor CU (AF/y</w:t>
            </w:r>
            <w:r>
              <w:rPr>
                <w:b/>
              </w:rPr>
              <w:t>ea</w:t>
            </w:r>
            <w:r w:rsidRPr="00F76788">
              <w:rPr>
                <w:b/>
              </w:rPr>
              <w:t>r)</w:t>
            </w:r>
          </w:p>
        </w:tc>
        <w:tc>
          <w:tcPr>
            <w:tcW w:w="1080" w:type="dxa"/>
            <w:shd w:val="clear" w:color="auto" w:fill="auto"/>
            <w:vAlign w:val="bottom"/>
            <w:hideMark/>
          </w:tcPr>
          <w:p w14:paraId="56F25C6A" w14:textId="77777777" w:rsidR="00822F50" w:rsidRPr="00F76788" w:rsidRDefault="00822F50" w:rsidP="00D10FA1">
            <w:pPr>
              <w:pStyle w:val="TableParagraph"/>
              <w:rPr>
                <w:b/>
              </w:rPr>
            </w:pPr>
            <w:r w:rsidRPr="00F76788">
              <w:rPr>
                <w:b/>
              </w:rPr>
              <w:t>Total CU/year (AF/year) in 2038</w:t>
            </w:r>
          </w:p>
        </w:tc>
      </w:tr>
      <w:tr w:rsidR="00822F50" w:rsidRPr="007B3192" w14:paraId="4AE4FDC3" w14:textId="77777777" w:rsidTr="00D10FA1">
        <w:trPr>
          <w:trHeight w:val="300"/>
        </w:trPr>
        <w:tc>
          <w:tcPr>
            <w:tcW w:w="1500" w:type="dxa"/>
            <w:shd w:val="clear" w:color="auto" w:fill="auto"/>
            <w:vAlign w:val="center"/>
            <w:hideMark/>
          </w:tcPr>
          <w:p w14:paraId="127FC3C7" w14:textId="77777777" w:rsidR="00822F50" w:rsidRPr="00F76788" w:rsidRDefault="00822F50" w:rsidP="00D10FA1">
            <w:pPr>
              <w:pStyle w:val="TableParagraph"/>
              <w:rPr>
                <w:b/>
              </w:rPr>
            </w:pPr>
            <w:r w:rsidRPr="00F76788">
              <w:rPr>
                <w:b/>
              </w:rPr>
              <w:t>Case</w:t>
            </w:r>
          </w:p>
        </w:tc>
        <w:tc>
          <w:tcPr>
            <w:tcW w:w="1080" w:type="dxa"/>
            <w:shd w:val="clear" w:color="auto" w:fill="auto"/>
            <w:vAlign w:val="center"/>
            <w:hideMark/>
          </w:tcPr>
          <w:p w14:paraId="4A86665C" w14:textId="77777777" w:rsidR="00822F50" w:rsidRPr="007B3192" w:rsidRDefault="00822F50" w:rsidP="00D10FA1">
            <w:pPr>
              <w:pStyle w:val="TableParagraph"/>
            </w:pPr>
            <w:r w:rsidRPr="007B3192">
              <w:t>512</w:t>
            </w:r>
          </w:p>
        </w:tc>
        <w:tc>
          <w:tcPr>
            <w:tcW w:w="1080" w:type="dxa"/>
            <w:shd w:val="clear" w:color="auto" w:fill="auto"/>
            <w:vAlign w:val="center"/>
            <w:hideMark/>
          </w:tcPr>
          <w:p w14:paraId="2111B2B0" w14:textId="77777777" w:rsidR="00822F50" w:rsidRPr="007B3192" w:rsidRDefault="00822F50" w:rsidP="00D10FA1">
            <w:pPr>
              <w:pStyle w:val="TableParagraph"/>
            </w:pPr>
            <w:r w:rsidRPr="007B3192">
              <w:t>8.6</w:t>
            </w:r>
          </w:p>
        </w:tc>
        <w:tc>
          <w:tcPr>
            <w:tcW w:w="1080" w:type="dxa"/>
            <w:shd w:val="clear" w:color="auto" w:fill="auto"/>
            <w:vAlign w:val="center"/>
            <w:hideMark/>
          </w:tcPr>
          <w:p w14:paraId="3F00C68E" w14:textId="77777777" w:rsidR="00822F50" w:rsidRPr="007B3192" w:rsidRDefault="00822F50" w:rsidP="00D10FA1">
            <w:pPr>
              <w:pStyle w:val="TableParagraph"/>
            </w:pPr>
            <w:r w:rsidRPr="007B3192">
              <w:t>81.9</w:t>
            </w:r>
          </w:p>
        </w:tc>
        <w:tc>
          <w:tcPr>
            <w:tcW w:w="1080" w:type="dxa"/>
            <w:shd w:val="clear" w:color="auto" w:fill="auto"/>
            <w:vAlign w:val="center"/>
            <w:hideMark/>
          </w:tcPr>
          <w:p w14:paraId="1BCE0D68" w14:textId="77777777" w:rsidR="00822F50" w:rsidRPr="007B3192" w:rsidRDefault="00822F50" w:rsidP="00D10FA1">
            <w:pPr>
              <w:pStyle w:val="TableParagraph"/>
            </w:pPr>
            <w:r w:rsidRPr="007B3192">
              <w:t>90.5</w:t>
            </w:r>
          </w:p>
        </w:tc>
      </w:tr>
      <w:tr w:rsidR="00822F50" w:rsidRPr="007B3192" w14:paraId="7972D792" w14:textId="77777777" w:rsidTr="00D10FA1">
        <w:trPr>
          <w:trHeight w:val="300"/>
        </w:trPr>
        <w:tc>
          <w:tcPr>
            <w:tcW w:w="1500" w:type="dxa"/>
            <w:shd w:val="clear" w:color="auto" w:fill="auto"/>
            <w:vAlign w:val="center"/>
            <w:hideMark/>
          </w:tcPr>
          <w:p w14:paraId="4DE7F768" w14:textId="77777777" w:rsidR="00822F50" w:rsidRPr="00F76788" w:rsidRDefault="00822F50" w:rsidP="00D10FA1">
            <w:pPr>
              <w:pStyle w:val="TableParagraph"/>
              <w:rPr>
                <w:b/>
              </w:rPr>
            </w:pPr>
            <w:r w:rsidRPr="00F76788">
              <w:rPr>
                <w:b/>
              </w:rPr>
              <w:t>Goldsborough</w:t>
            </w:r>
          </w:p>
        </w:tc>
        <w:tc>
          <w:tcPr>
            <w:tcW w:w="1080" w:type="dxa"/>
            <w:shd w:val="clear" w:color="auto" w:fill="auto"/>
            <w:vAlign w:val="center"/>
            <w:hideMark/>
          </w:tcPr>
          <w:p w14:paraId="570B3B41" w14:textId="77777777" w:rsidR="00822F50" w:rsidRPr="007B3192" w:rsidRDefault="00822F50" w:rsidP="00D10FA1">
            <w:pPr>
              <w:pStyle w:val="TableParagraph"/>
            </w:pPr>
            <w:r w:rsidRPr="007B3192">
              <w:t>546</w:t>
            </w:r>
          </w:p>
        </w:tc>
        <w:tc>
          <w:tcPr>
            <w:tcW w:w="1080" w:type="dxa"/>
            <w:shd w:val="clear" w:color="auto" w:fill="auto"/>
            <w:vAlign w:val="center"/>
            <w:hideMark/>
          </w:tcPr>
          <w:p w14:paraId="64ED0AB9" w14:textId="77777777" w:rsidR="00822F50" w:rsidRPr="007B3192" w:rsidRDefault="00822F50" w:rsidP="00D10FA1">
            <w:pPr>
              <w:pStyle w:val="TableParagraph"/>
            </w:pPr>
            <w:r w:rsidRPr="007B3192">
              <w:t>9.2</w:t>
            </w:r>
          </w:p>
        </w:tc>
        <w:tc>
          <w:tcPr>
            <w:tcW w:w="1080" w:type="dxa"/>
            <w:shd w:val="clear" w:color="auto" w:fill="auto"/>
            <w:vAlign w:val="center"/>
            <w:hideMark/>
          </w:tcPr>
          <w:p w14:paraId="74C13A70" w14:textId="77777777" w:rsidR="00822F50" w:rsidRPr="007B3192" w:rsidRDefault="00822F50" w:rsidP="00D10FA1">
            <w:pPr>
              <w:pStyle w:val="TableParagraph"/>
            </w:pPr>
            <w:r w:rsidRPr="007B3192">
              <w:t>87.4</w:t>
            </w:r>
          </w:p>
        </w:tc>
        <w:tc>
          <w:tcPr>
            <w:tcW w:w="1080" w:type="dxa"/>
            <w:shd w:val="clear" w:color="auto" w:fill="auto"/>
            <w:vAlign w:val="center"/>
            <w:hideMark/>
          </w:tcPr>
          <w:p w14:paraId="33EBD5B9" w14:textId="77777777" w:rsidR="00822F50" w:rsidRPr="007B3192" w:rsidRDefault="00822F50" w:rsidP="00D10FA1">
            <w:pPr>
              <w:pStyle w:val="TableParagraph"/>
            </w:pPr>
            <w:r w:rsidRPr="007B3192">
              <w:t>96.5</w:t>
            </w:r>
          </w:p>
        </w:tc>
      </w:tr>
      <w:tr w:rsidR="00822F50" w:rsidRPr="007B3192" w14:paraId="23071177" w14:textId="77777777" w:rsidTr="00D10FA1">
        <w:trPr>
          <w:trHeight w:val="300"/>
        </w:trPr>
        <w:tc>
          <w:tcPr>
            <w:tcW w:w="1500" w:type="dxa"/>
            <w:shd w:val="clear" w:color="auto" w:fill="auto"/>
            <w:vAlign w:val="center"/>
            <w:hideMark/>
          </w:tcPr>
          <w:p w14:paraId="45C4F32D" w14:textId="77777777" w:rsidR="00822F50" w:rsidRPr="00F76788" w:rsidRDefault="00822F50" w:rsidP="00D10FA1">
            <w:pPr>
              <w:pStyle w:val="TableParagraph"/>
              <w:rPr>
                <w:b/>
              </w:rPr>
            </w:pPr>
            <w:r w:rsidRPr="00F76788">
              <w:rPr>
                <w:b/>
              </w:rPr>
              <w:t>Harstine</w:t>
            </w:r>
          </w:p>
        </w:tc>
        <w:tc>
          <w:tcPr>
            <w:tcW w:w="1080" w:type="dxa"/>
            <w:shd w:val="clear" w:color="auto" w:fill="auto"/>
            <w:vAlign w:val="center"/>
            <w:hideMark/>
          </w:tcPr>
          <w:p w14:paraId="2FB1D7FF" w14:textId="77777777" w:rsidR="00822F50" w:rsidRPr="007B3192" w:rsidRDefault="00822F50" w:rsidP="00D10FA1">
            <w:pPr>
              <w:pStyle w:val="TableParagraph"/>
            </w:pPr>
            <w:r w:rsidRPr="007B3192">
              <w:t>143</w:t>
            </w:r>
          </w:p>
        </w:tc>
        <w:tc>
          <w:tcPr>
            <w:tcW w:w="1080" w:type="dxa"/>
            <w:shd w:val="clear" w:color="auto" w:fill="auto"/>
            <w:vAlign w:val="center"/>
            <w:hideMark/>
          </w:tcPr>
          <w:p w14:paraId="54B81286" w14:textId="77777777" w:rsidR="00822F50" w:rsidRPr="007B3192" w:rsidRDefault="00822F50" w:rsidP="00D10FA1">
            <w:pPr>
              <w:pStyle w:val="TableParagraph"/>
            </w:pPr>
            <w:r w:rsidRPr="007B3192">
              <w:t>2.4</w:t>
            </w:r>
          </w:p>
        </w:tc>
        <w:tc>
          <w:tcPr>
            <w:tcW w:w="1080" w:type="dxa"/>
            <w:shd w:val="clear" w:color="auto" w:fill="auto"/>
            <w:vAlign w:val="center"/>
            <w:hideMark/>
          </w:tcPr>
          <w:p w14:paraId="34AB840F" w14:textId="77777777" w:rsidR="00822F50" w:rsidRPr="007B3192" w:rsidRDefault="00822F50" w:rsidP="00D10FA1">
            <w:pPr>
              <w:pStyle w:val="TableParagraph"/>
            </w:pPr>
            <w:r w:rsidRPr="007B3192">
              <w:t>22.9</w:t>
            </w:r>
          </w:p>
        </w:tc>
        <w:tc>
          <w:tcPr>
            <w:tcW w:w="1080" w:type="dxa"/>
            <w:shd w:val="clear" w:color="auto" w:fill="auto"/>
            <w:vAlign w:val="center"/>
            <w:hideMark/>
          </w:tcPr>
          <w:p w14:paraId="32F60413" w14:textId="77777777" w:rsidR="00822F50" w:rsidRPr="007B3192" w:rsidRDefault="00822F50" w:rsidP="00D10FA1">
            <w:pPr>
              <w:pStyle w:val="TableParagraph"/>
            </w:pPr>
            <w:r w:rsidRPr="007B3192">
              <w:t>25.3</w:t>
            </w:r>
          </w:p>
        </w:tc>
      </w:tr>
      <w:tr w:rsidR="00822F50" w:rsidRPr="007B3192" w14:paraId="64B104EF" w14:textId="77777777" w:rsidTr="00D10FA1">
        <w:trPr>
          <w:trHeight w:val="300"/>
        </w:trPr>
        <w:tc>
          <w:tcPr>
            <w:tcW w:w="1500" w:type="dxa"/>
            <w:shd w:val="clear" w:color="auto" w:fill="auto"/>
            <w:vAlign w:val="center"/>
            <w:hideMark/>
          </w:tcPr>
          <w:p w14:paraId="6135BD6C" w14:textId="77777777" w:rsidR="00822F50" w:rsidRPr="00F76788" w:rsidRDefault="00822F50" w:rsidP="00D10FA1">
            <w:pPr>
              <w:pStyle w:val="TableParagraph"/>
              <w:rPr>
                <w:b/>
              </w:rPr>
            </w:pPr>
            <w:r w:rsidRPr="00F76788">
              <w:rPr>
                <w:b/>
              </w:rPr>
              <w:t>Hood</w:t>
            </w:r>
          </w:p>
        </w:tc>
        <w:tc>
          <w:tcPr>
            <w:tcW w:w="1080" w:type="dxa"/>
            <w:shd w:val="clear" w:color="auto" w:fill="auto"/>
            <w:vAlign w:val="center"/>
            <w:hideMark/>
          </w:tcPr>
          <w:p w14:paraId="65B0C51A" w14:textId="77777777" w:rsidR="00822F50" w:rsidRPr="007B3192" w:rsidRDefault="00822F50" w:rsidP="00D10FA1">
            <w:pPr>
              <w:pStyle w:val="TableParagraph"/>
            </w:pPr>
            <w:r w:rsidRPr="007B3192">
              <w:t>117</w:t>
            </w:r>
          </w:p>
        </w:tc>
        <w:tc>
          <w:tcPr>
            <w:tcW w:w="1080" w:type="dxa"/>
            <w:shd w:val="clear" w:color="auto" w:fill="auto"/>
            <w:vAlign w:val="center"/>
            <w:hideMark/>
          </w:tcPr>
          <w:p w14:paraId="498673BA" w14:textId="77777777" w:rsidR="00822F50" w:rsidRPr="007B3192" w:rsidRDefault="00822F50" w:rsidP="00D10FA1">
            <w:pPr>
              <w:pStyle w:val="TableParagraph"/>
            </w:pPr>
            <w:r w:rsidRPr="007B3192">
              <w:t>2.0</w:t>
            </w:r>
          </w:p>
        </w:tc>
        <w:tc>
          <w:tcPr>
            <w:tcW w:w="1080" w:type="dxa"/>
            <w:shd w:val="clear" w:color="auto" w:fill="auto"/>
            <w:vAlign w:val="center"/>
            <w:hideMark/>
          </w:tcPr>
          <w:p w14:paraId="46127505" w14:textId="77777777" w:rsidR="00822F50" w:rsidRPr="007B3192" w:rsidRDefault="00822F50" w:rsidP="00D10FA1">
            <w:pPr>
              <w:pStyle w:val="TableParagraph"/>
            </w:pPr>
            <w:r w:rsidRPr="007B3192">
              <w:t>18.7</w:t>
            </w:r>
          </w:p>
        </w:tc>
        <w:tc>
          <w:tcPr>
            <w:tcW w:w="1080" w:type="dxa"/>
            <w:shd w:val="clear" w:color="auto" w:fill="auto"/>
            <w:vAlign w:val="center"/>
            <w:hideMark/>
          </w:tcPr>
          <w:p w14:paraId="4D202179" w14:textId="77777777" w:rsidR="00822F50" w:rsidRPr="007B3192" w:rsidRDefault="00822F50" w:rsidP="00D10FA1">
            <w:pPr>
              <w:pStyle w:val="TableParagraph"/>
            </w:pPr>
            <w:r w:rsidRPr="007B3192">
              <w:t>20.7</w:t>
            </w:r>
          </w:p>
        </w:tc>
      </w:tr>
      <w:tr w:rsidR="00822F50" w:rsidRPr="007B3192" w14:paraId="71F16748" w14:textId="77777777" w:rsidTr="00D10FA1">
        <w:trPr>
          <w:trHeight w:val="300"/>
        </w:trPr>
        <w:tc>
          <w:tcPr>
            <w:tcW w:w="1500" w:type="dxa"/>
            <w:shd w:val="clear" w:color="auto" w:fill="auto"/>
            <w:vAlign w:val="center"/>
            <w:hideMark/>
          </w:tcPr>
          <w:p w14:paraId="761726D4" w14:textId="77777777" w:rsidR="00822F50" w:rsidRPr="00F76788" w:rsidRDefault="00822F50" w:rsidP="00D10FA1">
            <w:pPr>
              <w:pStyle w:val="TableParagraph"/>
              <w:rPr>
                <w:b/>
              </w:rPr>
            </w:pPr>
            <w:r w:rsidRPr="00F76788">
              <w:rPr>
                <w:b/>
              </w:rPr>
              <w:t>Kennedy</w:t>
            </w:r>
          </w:p>
        </w:tc>
        <w:tc>
          <w:tcPr>
            <w:tcW w:w="1080" w:type="dxa"/>
            <w:shd w:val="clear" w:color="auto" w:fill="auto"/>
            <w:vAlign w:val="center"/>
            <w:hideMark/>
          </w:tcPr>
          <w:p w14:paraId="71398355" w14:textId="77777777" w:rsidR="00822F50" w:rsidRPr="007B3192" w:rsidRDefault="00822F50" w:rsidP="00D10FA1">
            <w:pPr>
              <w:pStyle w:val="TableParagraph"/>
            </w:pPr>
            <w:r w:rsidRPr="007B3192">
              <w:t>588</w:t>
            </w:r>
          </w:p>
        </w:tc>
        <w:tc>
          <w:tcPr>
            <w:tcW w:w="1080" w:type="dxa"/>
            <w:shd w:val="clear" w:color="auto" w:fill="auto"/>
            <w:vAlign w:val="center"/>
            <w:hideMark/>
          </w:tcPr>
          <w:p w14:paraId="46703882" w14:textId="77777777" w:rsidR="00822F50" w:rsidRPr="007B3192" w:rsidRDefault="00822F50" w:rsidP="00D10FA1">
            <w:pPr>
              <w:pStyle w:val="TableParagraph"/>
            </w:pPr>
            <w:r w:rsidRPr="007B3192">
              <w:t>9.9</w:t>
            </w:r>
          </w:p>
        </w:tc>
        <w:tc>
          <w:tcPr>
            <w:tcW w:w="1080" w:type="dxa"/>
            <w:shd w:val="clear" w:color="auto" w:fill="auto"/>
            <w:vAlign w:val="center"/>
            <w:hideMark/>
          </w:tcPr>
          <w:p w14:paraId="5A34AAF7" w14:textId="77777777" w:rsidR="00822F50" w:rsidRPr="007B3192" w:rsidRDefault="00822F50" w:rsidP="00D10FA1">
            <w:pPr>
              <w:pStyle w:val="TableParagraph"/>
            </w:pPr>
            <w:r w:rsidRPr="007B3192">
              <w:t>94.0</w:t>
            </w:r>
          </w:p>
        </w:tc>
        <w:tc>
          <w:tcPr>
            <w:tcW w:w="1080" w:type="dxa"/>
            <w:shd w:val="clear" w:color="auto" w:fill="auto"/>
            <w:vAlign w:val="center"/>
            <w:hideMark/>
          </w:tcPr>
          <w:p w14:paraId="318FBA78" w14:textId="77777777" w:rsidR="00822F50" w:rsidRPr="007B3192" w:rsidRDefault="00822F50" w:rsidP="00D10FA1">
            <w:pPr>
              <w:pStyle w:val="TableParagraph"/>
            </w:pPr>
            <w:r w:rsidRPr="007B3192">
              <w:t>103.9</w:t>
            </w:r>
          </w:p>
        </w:tc>
      </w:tr>
      <w:tr w:rsidR="00822F50" w:rsidRPr="007B3192" w14:paraId="077EA590" w14:textId="77777777" w:rsidTr="00D10FA1">
        <w:trPr>
          <w:trHeight w:val="300"/>
        </w:trPr>
        <w:tc>
          <w:tcPr>
            <w:tcW w:w="1500" w:type="dxa"/>
            <w:shd w:val="clear" w:color="auto" w:fill="auto"/>
            <w:vAlign w:val="center"/>
            <w:hideMark/>
          </w:tcPr>
          <w:p w14:paraId="55141F41" w14:textId="77777777" w:rsidR="00822F50" w:rsidRPr="00F76788" w:rsidRDefault="00822F50" w:rsidP="00D10FA1">
            <w:pPr>
              <w:pStyle w:val="TableParagraph"/>
              <w:rPr>
                <w:b/>
              </w:rPr>
            </w:pPr>
            <w:r w:rsidRPr="00F76788">
              <w:rPr>
                <w:b/>
              </w:rPr>
              <w:t>Mill</w:t>
            </w:r>
          </w:p>
        </w:tc>
        <w:tc>
          <w:tcPr>
            <w:tcW w:w="1080" w:type="dxa"/>
            <w:shd w:val="clear" w:color="auto" w:fill="auto"/>
            <w:vAlign w:val="center"/>
            <w:hideMark/>
          </w:tcPr>
          <w:p w14:paraId="7FFFE23E" w14:textId="77777777" w:rsidR="00822F50" w:rsidRPr="007B3192" w:rsidRDefault="00822F50" w:rsidP="00D10FA1">
            <w:pPr>
              <w:pStyle w:val="TableParagraph"/>
            </w:pPr>
            <w:r w:rsidRPr="007B3192">
              <w:t>466</w:t>
            </w:r>
          </w:p>
        </w:tc>
        <w:tc>
          <w:tcPr>
            <w:tcW w:w="1080" w:type="dxa"/>
            <w:shd w:val="clear" w:color="auto" w:fill="auto"/>
            <w:vAlign w:val="center"/>
            <w:hideMark/>
          </w:tcPr>
          <w:p w14:paraId="1697585E" w14:textId="77777777" w:rsidR="00822F50" w:rsidRPr="007B3192" w:rsidRDefault="00822F50" w:rsidP="00D10FA1">
            <w:pPr>
              <w:pStyle w:val="TableParagraph"/>
            </w:pPr>
            <w:r w:rsidRPr="007B3192">
              <w:t>7.8</w:t>
            </w:r>
          </w:p>
        </w:tc>
        <w:tc>
          <w:tcPr>
            <w:tcW w:w="1080" w:type="dxa"/>
            <w:shd w:val="clear" w:color="auto" w:fill="auto"/>
            <w:vAlign w:val="center"/>
            <w:hideMark/>
          </w:tcPr>
          <w:p w14:paraId="4725BABB" w14:textId="77777777" w:rsidR="00822F50" w:rsidRPr="007B3192" w:rsidRDefault="00822F50" w:rsidP="00D10FA1">
            <w:pPr>
              <w:pStyle w:val="TableParagraph"/>
            </w:pPr>
            <w:r w:rsidRPr="007B3192">
              <w:t>74.6</w:t>
            </w:r>
          </w:p>
        </w:tc>
        <w:tc>
          <w:tcPr>
            <w:tcW w:w="1080" w:type="dxa"/>
            <w:shd w:val="clear" w:color="auto" w:fill="auto"/>
            <w:vAlign w:val="center"/>
            <w:hideMark/>
          </w:tcPr>
          <w:p w14:paraId="0D7974B3" w14:textId="77777777" w:rsidR="00822F50" w:rsidRPr="007B3192" w:rsidRDefault="00822F50" w:rsidP="00D10FA1">
            <w:pPr>
              <w:pStyle w:val="TableParagraph"/>
            </w:pPr>
            <w:r w:rsidRPr="007B3192">
              <w:t>82.4</w:t>
            </w:r>
          </w:p>
        </w:tc>
      </w:tr>
      <w:tr w:rsidR="00822F50" w:rsidRPr="007B3192" w14:paraId="7765F4A5" w14:textId="77777777" w:rsidTr="00D10FA1">
        <w:trPr>
          <w:trHeight w:val="300"/>
        </w:trPr>
        <w:tc>
          <w:tcPr>
            <w:tcW w:w="1500" w:type="dxa"/>
            <w:shd w:val="clear" w:color="auto" w:fill="auto"/>
            <w:vAlign w:val="center"/>
            <w:hideMark/>
          </w:tcPr>
          <w:p w14:paraId="20A23113" w14:textId="77777777" w:rsidR="00822F50" w:rsidRPr="00F76788" w:rsidRDefault="00822F50" w:rsidP="00D10FA1">
            <w:pPr>
              <w:pStyle w:val="TableParagraph"/>
              <w:rPr>
                <w:b/>
              </w:rPr>
            </w:pPr>
            <w:r w:rsidRPr="00F76788">
              <w:rPr>
                <w:b/>
              </w:rPr>
              <w:t>Oakland</w:t>
            </w:r>
          </w:p>
        </w:tc>
        <w:tc>
          <w:tcPr>
            <w:tcW w:w="1080" w:type="dxa"/>
            <w:shd w:val="clear" w:color="auto" w:fill="auto"/>
            <w:vAlign w:val="center"/>
            <w:hideMark/>
          </w:tcPr>
          <w:p w14:paraId="09415C61" w14:textId="77777777" w:rsidR="00822F50" w:rsidRPr="007B3192" w:rsidRDefault="00822F50" w:rsidP="00D10FA1">
            <w:pPr>
              <w:pStyle w:val="TableParagraph"/>
            </w:pPr>
            <w:r w:rsidRPr="007B3192">
              <w:t>1</w:t>
            </w:r>
            <w:r>
              <w:t>,</w:t>
            </w:r>
            <w:r w:rsidRPr="007B3192">
              <w:t>559</w:t>
            </w:r>
          </w:p>
        </w:tc>
        <w:tc>
          <w:tcPr>
            <w:tcW w:w="1080" w:type="dxa"/>
            <w:shd w:val="clear" w:color="auto" w:fill="auto"/>
            <w:vAlign w:val="center"/>
            <w:hideMark/>
          </w:tcPr>
          <w:p w14:paraId="2B81AABD" w14:textId="77777777" w:rsidR="00822F50" w:rsidRPr="007B3192" w:rsidRDefault="00822F50" w:rsidP="00D10FA1">
            <w:pPr>
              <w:pStyle w:val="TableParagraph"/>
            </w:pPr>
            <w:r w:rsidRPr="007B3192">
              <w:t>26.2</w:t>
            </w:r>
          </w:p>
        </w:tc>
        <w:tc>
          <w:tcPr>
            <w:tcW w:w="1080" w:type="dxa"/>
            <w:shd w:val="clear" w:color="auto" w:fill="auto"/>
            <w:vAlign w:val="center"/>
            <w:hideMark/>
          </w:tcPr>
          <w:p w14:paraId="287FE2AA" w14:textId="77777777" w:rsidR="00822F50" w:rsidRPr="007B3192" w:rsidRDefault="00822F50" w:rsidP="00D10FA1">
            <w:pPr>
              <w:pStyle w:val="TableParagraph"/>
            </w:pPr>
            <w:r w:rsidRPr="007B3192">
              <w:t>249.4</w:t>
            </w:r>
          </w:p>
        </w:tc>
        <w:tc>
          <w:tcPr>
            <w:tcW w:w="1080" w:type="dxa"/>
            <w:shd w:val="clear" w:color="auto" w:fill="auto"/>
            <w:vAlign w:val="center"/>
            <w:hideMark/>
          </w:tcPr>
          <w:p w14:paraId="4D274A9B" w14:textId="77777777" w:rsidR="00822F50" w:rsidRPr="007B3192" w:rsidRDefault="00822F50" w:rsidP="00D10FA1">
            <w:pPr>
              <w:pStyle w:val="TableParagraph"/>
            </w:pPr>
            <w:r w:rsidRPr="007B3192">
              <w:t>275.6</w:t>
            </w:r>
          </w:p>
        </w:tc>
      </w:tr>
      <w:tr w:rsidR="00822F50" w:rsidRPr="007B3192" w14:paraId="46279D9B" w14:textId="77777777" w:rsidTr="00D10FA1">
        <w:trPr>
          <w:trHeight w:val="300"/>
        </w:trPr>
        <w:tc>
          <w:tcPr>
            <w:tcW w:w="1500" w:type="dxa"/>
            <w:shd w:val="clear" w:color="auto" w:fill="auto"/>
            <w:vAlign w:val="center"/>
            <w:hideMark/>
          </w:tcPr>
          <w:p w14:paraId="1D676411" w14:textId="77777777" w:rsidR="00822F50" w:rsidRPr="00F76788" w:rsidRDefault="00822F50" w:rsidP="00D10FA1">
            <w:pPr>
              <w:pStyle w:val="TableParagraph"/>
              <w:rPr>
                <w:b/>
              </w:rPr>
            </w:pPr>
            <w:r w:rsidRPr="00F76788">
              <w:rPr>
                <w:b/>
              </w:rPr>
              <w:t>Skookum</w:t>
            </w:r>
          </w:p>
        </w:tc>
        <w:tc>
          <w:tcPr>
            <w:tcW w:w="1080" w:type="dxa"/>
            <w:shd w:val="clear" w:color="auto" w:fill="auto"/>
            <w:vAlign w:val="center"/>
            <w:hideMark/>
          </w:tcPr>
          <w:p w14:paraId="2276990C" w14:textId="77777777" w:rsidR="00822F50" w:rsidRPr="007B3192" w:rsidRDefault="00822F50" w:rsidP="00D10FA1">
            <w:pPr>
              <w:pStyle w:val="TableParagraph"/>
            </w:pPr>
            <w:r w:rsidRPr="007B3192">
              <w:t>363</w:t>
            </w:r>
          </w:p>
        </w:tc>
        <w:tc>
          <w:tcPr>
            <w:tcW w:w="1080" w:type="dxa"/>
            <w:shd w:val="clear" w:color="auto" w:fill="auto"/>
            <w:vAlign w:val="center"/>
            <w:hideMark/>
          </w:tcPr>
          <w:p w14:paraId="3ADA3607" w14:textId="77777777" w:rsidR="00822F50" w:rsidRPr="007B3192" w:rsidRDefault="00822F50" w:rsidP="00D10FA1">
            <w:pPr>
              <w:pStyle w:val="TableParagraph"/>
            </w:pPr>
            <w:r w:rsidRPr="007B3192">
              <w:t>6.1</w:t>
            </w:r>
          </w:p>
        </w:tc>
        <w:tc>
          <w:tcPr>
            <w:tcW w:w="1080" w:type="dxa"/>
            <w:shd w:val="clear" w:color="auto" w:fill="auto"/>
            <w:vAlign w:val="center"/>
            <w:hideMark/>
          </w:tcPr>
          <w:p w14:paraId="60578E1F" w14:textId="77777777" w:rsidR="00822F50" w:rsidRPr="007B3192" w:rsidRDefault="00822F50" w:rsidP="00D10FA1">
            <w:pPr>
              <w:pStyle w:val="TableParagraph"/>
            </w:pPr>
            <w:r w:rsidRPr="007B3192">
              <w:t>58.1</w:t>
            </w:r>
          </w:p>
        </w:tc>
        <w:tc>
          <w:tcPr>
            <w:tcW w:w="1080" w:type="dxa"/>
            <w:shd w:val="clear" w:color="auto" w:fill="auto"/>
            <w:vAlign w:val="center"/>
            <w:hideMark/>
          </w:tcPr>
          <w:p w14:paraId="19F42477" w14:textId="77777777" w:rsidR="00822F50" w:rsidRPr="007B3192" w:rsidRDefault="00822F50" w:rsidP="00D10FA1">
            <w:pPr>
              <w:pStyle w:val="TableParagraph"/>
            </w:pPr>
            <w:r w:rsidRPr="007B3192">
              <w:t>64.2</w:t>
            </w:r>
          </w:p>
        </w:tc>
      </w:tr>
      <w:tr w:rsidR="00822F50" w:rsidRPr="007B3192" w14:paraId="2352B7FB" w14:textId="77777777" w:rsidTr="00D10FA1">
        <w:trPr>
          <w:trHeight w:val="300"/>
        </w:trPr>
        <w:tc>
          <w:tcPr>
            <w:tcW w:w="1500" w:type="dxa"/>
            <w:shd w:val="clear" w:color="auto" w:fill="auto"/>
            <w:vAlign w:val="center"/>
            <w:hideMark/>
          </w:tcPr>
          <w:p w14:paraId="78D61BDF" w14:textId="77777777" w:rsidR="00822F50" w:rsidRPr="00F76788" w:rsidRDefault="00822F50" w:rsidP="00D10FA1">
            <w:pPr>
              <w:pStyle w:val="TableParagraph"/>
              <w:rPr>
                <w:b/>
              </w:rPr>
            </w:pPr>
            <w:r w:rsidRPr="00F76788">
              <w:rPr>
                <w:b/>
              </w:rPr>
              <w:t>TOTAL</w:t>
            </w:r>
          </w:p>
        </w:tc>
        <w:tc>
          <w:tcPr>
            <w:tcW w:w="1080" w:type="dxa"/>
            <w:shd w:val="clear" w:color="auto" w:fill="auto"/>
            <w:vAlign w:val="center"/>
            <w:hideMark/>
          </w:tcPr>
          <w:p w14:paraId="48F82EAD" w14:textId="77777777" w:rsidR="00822F50" w:rsidRPr="007B3192" w:rsidRDefault="00822F50" w:rsidP="00D10FA1">
            <w:pPr>
              <w:pStyle w:val="TableParagraph"/>
            </w:pPr>
            <w:r w:rsidRPr="007B3192">
              <w:t>4</w:t>
            </w:r>
            <w:r>
              <w:t>,</w:t>
            </w:r>
            <w:r w:rsidRPr="007B3192">
              <w:t>294</w:t>
            </w:r>
          </w:p>
        </w:tc>
        <w:tc>
          <w:tcPr>
            <w:tcW w:w="1080" w:type="dxa"/>
            <w:shd w:val="clear" w:color="auto" w:fill="auto"/>
            <w:vAlign w:val="center"/>
            <w:hideMark/>
          </w:tcPr>
          <w:p w14:paraId="742375A4" w14:textId="77777777" w:rsidR="00822F50" w:rsidRPr="007B3192" w:rsidRDefault="00822F50" w:rsidP="00D10FA1">
            <w:pPr>
              <w:pStyle w:val="TableParagraph"/>
            </w:pPr>
            <w:r w:rsidRPr="007B3192">
              <w:t>72</w:t>
            </w:r>
          </w:p>
        </w:tc>
        <w:tc>
          <w:tcPr>
            <w:tcW w:w="1080" w:type="dxa"/>
            <w:shd w:val="clear" w:color="auto" w:fill="auto"/>
            <w:vAlign w:val="center"/>
            <w:hideMark/>
          </w:tcPr>
          <w:p w14:paraId="0F6509C5" w14:textId="77777777" w:rsidR="00822F50" w:rsidRPr="007B3192" w:rsidRDefault="00822F50" w:rsidP="00D10FA1">
            <w:pPr>
              <w:pStyle w:val="TableParagraph"/>
            </w:pPr>
            <w:r w:rsidRPr="007B3192">
              <w:t>687</w:t>
            </w:r>
          </w:p>
        </w:tc>
        <w:tc>
          <w:tcPr>
            <w:tcW w:w="1080" w:type="dxa"/>
            <w:shd w:val="clear" w:color="auto" w:fill="auto"/>
            <w:vAlign w:val="center"/>
            <w:hideMark/>
          </w:tcPr>
          <w:p w14:paraId="32348157" w14:textId="77777777" w:rsidR="00822F50" w:rsidRPr="007B3192" w:rsidRDefault="00822F50" w:rsidP="00D10FA1">
            <w:pPr>
              <w:pStyle w:val="TableParagraph"/>
            </w:pPr>
            <w:r w:rsidRPr="007B3192">
              <w:t>759.2</w:t>
            </w:r>
          </w:p>
        </w:tc>
      </w:tr>
    </w:tbl>
    <w:p w14:paraId="0047CB7F" w14:textId="6A13649B" w:rsidR="00167CBC" w:rsidRDefault="00167CBC" w:rsidP="00167CBC">
      <w:pPr>
        <w:rPr>
          <w:rFonts w:asciiTheme="minorHAnsi" w:hAnsiTheme="minorHAnsi"/>
          <w:shd w:val="clear" w:color="auto" w:fill="FFFFFF"/>
        </w:rPr>
      </w:pPr>
    </w:p>
    <w:p w14:paraId="05077471" w14:textId="77777777" w:rsidR="00822F50" w:rsidRDefault="00822F50" w:rsidP="001B1B82">
      <w:pPr>
        <w:pStyle w:val="Paragraph"/>
      </w:pPr>
    </w:p>
    <w:p w14:paraId="7F7B0A91" w14:textId="77777777" w:rsidR="001B1B82" w:rsidRDefault="001B1B82" w:rsidP="001B1B82">
      <w:pPr>
        <w:pStyle w:val="Paragraph"/>
      </w:pPr>
    </w:p>
    <w:p w14:paraId="00A489AA" w14:textId="4B08C77E" w:rsidR="001B1B82" w:rsidRDefault="001B1B82" w:rsidP="001B1B82">
      <w:pPr>
        <w:pStyle w:val="Paragraph"/>
      </w:pPr>
    </w:p>
    <w:p w14:paraId="2ADA0B7C" w14:textId="09F75E4E" w:rsidR="001B1B82" w:rsidRDefault="001B1B82" w:rsidP="001B1B82">
      <w:pPr>
        <w:pStyle w:val="Paragraph"/>
      </w:pPr>
    </w:p>
    <w:p w14:paraId="71E98A09" w14:textId="3AABCA86" w:rsidR="001B1B82" w:rsidRDefault="001B1B82" w:rsidP="001B1B82">
      <w:pPr>
        <w:pStyle w:val="Heading1"/>
      </w:pPr>
      <w:r>
        <w:lastRenderedPageBreak/>
        <w:t>Project Offset by Subbasin</w:t>
      </w:r>
    </w:p>
    <w:p w14:paraId="6B853BB0" w14:textId="64E5A07B" w:rsidR="001B1B82" w:rsidRDefault="001B1B82" w:rsidP="001B1B82">
      <w:pPr>
        <w:rPr>
          <w:rFonts w:asciiTheme="minorHAnsi" w:hAnsiTheme="minorHAnsi" w:cstheme="minorHAnsi"/>
          <w:sz w:val="22"/>
          <w:szCs w:val="22"/>
        </w:rPr>
      </w:pPr>
      <w:r>
        <w:rPr>
          <w:rFonts w:asciiTheme="minorHAnsi" w:hAnsiTheme="minorHAnsi" w:cstheme="minorHAnsi"/>
          <w:sz w:val="22"/>
          <w:szCs w:val="22"/>
        </w:rPr>
        <w:t>For comparison of the offset estimates for consumptive use to the current WRIA 14 projects that are estimated to provide offset, table 4 below is presented for context.</w:t>
      </w:r>
      <w:r w:rsidR="00122136">
        <w:rPr>
          <w:rFonts w:asciiTheme="minorHAnsi" w:hAnsiTheme="minorHAnsi" w:cstheme="minorHAnsi"/>
          <w:sz w:val="22"/>
          <w:szCs w:val="22"/>
        </w:rPr>
        <w:t xml:space="preserve"> </w:t>
      </w:r>
      <w:r w:rsidR="00122136" w:rsidRPr="00122136">
        <w:rPr>
          <w:rFonts w:asciiTheme="minorHAnsi" w:hAnsiTheme="minorHAnsi" w:cstheme="minorHAnsi"/>
          <w:sz w:val="22"/>
          <w:szCs w:val="22"/>
          <w:highlight w:val="lightGray"/>
        </w:rPr>
        <w:t>[Comment: info is pending, Angela will send out a revised version with this information ASAP]</w:t>
      </w:r>
    </w:p>
    <w:p w14:paraId="22EA5F10" w14:textId="2FCAFD07" w:rsidR="001B1B82" w:rsidRPr="001B1B82" w:rsidRDefault="001B1B82" w:rsidP="001B1B82">
      <w:pPr>
        <w:rPr>
          <w:rFonts w:asciiTheme="minorHAnsi" w:hAnsiTheme="minorHAnsi" w:cstheme="minorHAnsi"/>
          <w:b/>
          <w:sz w:val="22"/>
          <w:szCs w:val="22"/>
        </w:rPr>
      </w:pPr>
      <w:r w:rsidRPr="001B1B82">
        <w:rPr>
          <w:rFonts w:asciiTheme="minorHAnsi" w:hAnsiTheme="minorHAnsi" w:cstheme="minorHAnsi"/>
          <w:b/>
          <w:sz w:val="22"/>
          <w:szCs w:val="22"/>
        </w:rPr>
        <w:t>Table 4 Offsets from Projects by Subbasin</w:t>
      </w:r>
    </w:p>
    <w:tbl>
      <w:tblPr>
        <w:tblW w:w="36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011"/>
      </w:tblGrid>
      <w:tr w:rsidR="001B1B82" w:rsidRPr="00F76788" w14:paraId="64D21937" w14:textId="77777777" w:rsidTr="001B1B82">
        <w:trPr>
          <w:trHeight w:val="1050"/>
        </w:trPr>
        <w:tc>
          <w:tcPr>
            <w:tcW w:w="1594" w:type="dxa"/>
            <w:shd w:val="clear" w:color="auto" w:fill="auto"/>
            <w:vAlign w:val="bottom"/>
            <w:hideMark/>
          </w:tcPr>
          <w:p w14:paraId="24536156" w14:textId="77777777" w:rsidR="001B1B82" w:rsidRPr="00F76788" w:rsidRDefault="001B1B82" w:rsidP="00D10FA1">
            <w:pPr>
              <w:pStyle w:val="TableParagraph"/>
              <w:rPr>
                <w:b/>
              </w:rPr>
            </w:pPr>
            <w:r w:rsidRPr="00F76788">
              <w:rPr>
                <w:b/>
              </w:rPr>
              <w:t>Subbasin</w:t>
            </w:r>
          </w:p>
        </w:tc>
        <w:tc>
          <w:tcPr>
            <w:tcW w:w="2011" w:type="dxa"/>
            <w:shd w:val="clear" w:color="auto" w:fill="auto"/>
            <w:vAlign w:val="bottom"/>
            <w:hideMark/>
          </w:tcPr>
          <w:p w14:paraId="2DC9F3DD" w14:textId="780FBEC7" w:rsidR="001B1B82" w:rsidRPr="00F76788" w:rsidRDefault="001B1B82" w:rsidP="00D10FA1">
            <w:pPr>
              <w:pStyle w:val="TableParagraph"/>
              <w:rPr>
                <w:b/>
              </w:rPr>
            </w:pPr>
            <w:r>
              <w:rPr>
                <w:b/>
              </w:rPr>
              <w:t>DRAFT Project Offset Estimate (afy)</w:t>
            </w:r>
          </w:p>
        </w:tc>
      </w:tr>
      <w:tr w:rsidR="001B1B82" w:rsidRPr="007B3192" w14:paraId="2F00B688" w14:textId="77777777" w:rsidTr="001B1B82">
        <w:trPr>
          <w:trHeight w:val="300"/>
        </w:trPr>
        <w:tc>
          <w:tcPr>
            <w:tcW w:w="1594" w:type="dxa"/>
            <w:shd w:val="clear" w:color="auto" w:fill="auto"/>
            <w:vAlign w:val="center"/>
            <w:hideMark/>
          </w:tcPr>
          <w:p w14:paraId="6B1E3536" w14:textId="77777777" w:rsidR="001B1B82" w:rsidRPr="00F76788" w:rsidRDefault="001B1B82" w:rsidP="00D10FA1">
            <w:pPr>
              <w:pStyle w:val="TableParagraph"/>
              <w:rPr>
                <w:b/>
              </w:rPr>
            </w:pPr>
            <w:r w:rsidRPr="00F76788">
              <w:rPr>
                <w:b/>
              </w:rPr>
              <w:t>Case</w:t>
            </w:r>
          </w:p>
        </w:tc>
        <w:tc>
          <w:tcPr>
            <w:tcW w:w="2011" w:type="dxa"/>
            <w:shd w:val="clear" w:color="auto" w:fill="auto"/>
            <w:vAlign w:val="center"/>
            <w:hideMark/>
          </w:tcPr>
          <w:p w14:paraId="00EC377B" w14:textId="7F6495E9" w:rsidR="001B1B82" w:rsidRPr="007B3192" w:rsidRDefault="001B1B82" w:rsidP="00D10FA1">
            <w:pPr>
              <w:pStyle w:val="TableParagraph"/>
            </w:pPr>
          </w:p>
        </w:tc>
      </w:tr>
      <w:tr w:rsidR="001B1B82" w:rsidRPr="007B3192" w14:paraId="7997108A" w14:textId="77777777" w:rsidTr="001B1B82">
        <w:trPr>
          <w:trHeight w:val="300"/>
        </w:trPr>
        <w:tc>
          <w:tcPr>
            <w:tcW w:w="1594" w:type="dxa"/>
            <w:shd w:val="clear" w:color="auto" w:fill="auto"/>
            <w:vAlign w:val="center"/>
            <w:hideMark/>
          </w:tcPr>
          <w:p w14:paraId="49673EA5" w14:textId="77777777" w:rsidR="001B1B82" w:rsidRPr="00F76788" w:rsidRDefault="001B1B82" w:rsidP="00D10FA1">
            <w:pPr>
              <w:pStyle w:val="TableParagraph"/>
              <w:rPr>
                <w:b/>
              </w:rPr>
            </w:pPr>
            <w:r w:rsidRPr="00F76788">
              <w:rPr>
                <w:b/>
              </w:rPr>
              <w:t>Goldsborough</w:t>
            </w:r>
          </w:p>
        </w:tc>
        <w:tc>
          <w:tcPr>
            <w:tcW w:w="2011" w:type="dxa"/>
            <w:shd w:val="clear" w:color="auto" w:fill="auto"/>
            <w:vAlign w:val="center"/>
            <w:hideMark/>
          </w:tcPr>
          <w:p w14:paraId="18DB2579" w14:textId="1308D88C" w:rsidR="001B1B82" w:rsidRPr="007B3192" w:rsidRDefault="001B1B82" w:rsidP="00D10FA1">
            <w:pPr>
              <w:pStyle w:val="TableParagraph"/>
            </w:pPr>
          </w:p>
        </w:tc>
      </w:tr>
      <w:tr w:rsidR="001B1B82" w:rsidRPr="007B3192" w14:paraId="3F45A190" w14:textId="77777777" w:rsidTr="001B1B82">
        <w:trPr>
          <w:trHeight w:val="300"/>
        </w:trPr>
        <w:tc>
          <w:tcPr>
            <w:tcW w:w="1594" w:type="dxa"/>
            <w:shd w:val="clear" w:color="auto" w:fill="auto"/>
            <w:vAlign w:val="center"/>
            <w:hideMark/>
          </w:tcPr>
          <w:p w14:paraId="33627891" w14:textId="77777777" w:rsidR="001B1B82" w:rsidRPr="00F76788" w:rsidRDefault="001B1B82" w:rsidP="00D10FA1">
            <w:pPr>
              <w:pStyle w:val="TableParagraph"/>
              <w:rPr>
                <w:b/>
              </w:rPr>
            </w:pPr>
            <w:r w:rsidRPr="00F76788">
              <w:rPr>
                <w:b/>
              </w:rPr>
              <w:t>Harstine</w:t>
            </w:r>
          </w:p>
        </w:tc>
        <w:tc>
          <w:tcPr>
            <w:tcW w:w="2011" w:type="dxa"/>
            <w:shd w:val="clear" w:color="auto" w:fill="auto"/>
            <w:vAlign w:val="center"/>
            <w:hideMark/>
          </w:tcPr>
          <w:p w14:paraId="63B82505" w14:textId="31F8DD91" w:rsidR="001B1B82" w:rsidRPr="007B3192" w:rsidRDefault="001B1B82" w:rsidP="00D10FA1">
            <w:pPr>
              <w:pStyle w:val="TableParagraph"/>
            </w:pPr>
          </w:p>
        </w:tc>
        <w:bookmarkStart w:id="2" w:name="_GoBack"/>
        <w:bookmarkEnd w:id="2"/>
      </w:tr>
      <w:tr w:rsidR="001B1B82" w:rsidRPr="007B3192" w14:paraId="130C64A5" w14:textId="77777777" w:rsidTr="001B1B82">
        <w:trPr>
          <w:trHeight w:val="300"/>
        </w:trPr>
        <w:tc>
          <w:tcPr>
            <w:tcW w:w="1594" w:type="dxa"/>
            <w:shd w:val="clear" w:color="auto" w:fill="auto"/>
            <w:vAlign w:val="center"/>
            <w:hideMark/>
          </w:tcPr>
          <w:p w14:paraId="6D53F890" w14:textId="77777777" w:rsidR="001B1B82" w:rsidRPr="00F76788" w:rsidRDefault="001B1B82" w:rsidP="00D10FA1">
            <w:pPr>
              <w:pStyle w:val="TableParagraph"/>
              <w:rPr>
                <w:b/>
              </w:rPr>
            </w:pPr>
            <w:r w:rsidRPr="00F76788">
              <w:rPr>
                <w:b/>
              </w:rPr>
              <w:t>Hood</w:t>
            </w:r>
          </w:p>
        </w:tc>
        <w:tc>
          <w:tcPr>
            <w:tcW w:w="2011" w:type="dxa"/>
            <w:shd w:val="clear" w:color="auto" w:fill="auto"/>
            <w:vAlign w:val="center"/>
            <w:hideMark/>
          </w:tcPr>
          <w:p w14:paraId="497391B1" w14:textId="277F6178" w:rsidR="001B1B82" w:rsidRPr="007B3192" w:rsidRDefault="001B1B82" w:rsidP="00D10FA1">
            <w:pPr>
              <w:pStyle w:val="TableParagraph"/>
            </w:pPr>
          </w:p>
        </w:tc>
      </w:tr>
      <w:tr w:rsidR="001B1B82" w:rsidRPr="007B3192" w14:paraId="615B4D5A" w14:textId="77777777" w:rsidTr="001B1B82">
        <w:trPr>
          <w:trHeight w:val="300"/>
        </w:trPr>
        <w:tc>
          <w:tcPr>
            <w:tcW w:w="1594" w:type="dxa"/>
            <w:shd w:val="clear" w:color="auto" w:fill="auto"/>
            <w:vAlign w:val="center"/>
            <w:hideMark/>
          </w:tcPr>
          <w:p w14:paraId="5D7DC1F1" w14:textId="77777777" w:rsidR="001B1B82" w:rsidRPr="00F76788" w:rsidRDefault="001B1B82" w:rsidP="00D10FA1">
            <w:pPr>
              <w:pStyle w:val="TableParagraph"/>
              <w:rPr>
                <w:b/>
              </w:rPr>
            </w:pPr>
            <w:r w:rsidRPr="00F76788">
              <w:rPr>
                <w:b/>
              </w:rPr>
              <w:t>Kennedy</w:t>
            </w:r>
          </w:p>
        </w:tc>
        <w:tc>
          <w:tcPr>
            <w:tcW w:w="2011" w:type="dxa"/>
            <w:shd w:val="clear" w:color="auto" w:fill="auto"/>
            <w:vAlign w:val="center"/>
            <w:hideMark/>
          </w:tcPr>
          <w:p w14:paraId="3C8616A3" w14:textId="790CFDFB" w:rsidR="001B1B82" w:rsidRPr="007B3192" w:rsidRDefault="001B1B82" w:rsidP="00D10FA1">
            <w:pPr>
              <w:pStyle w:val="TableParagraph"/>
            </w:pPr>
          </w:p>
        </w:tc>
      </w:tr>
      <w:tr w:rsidR="001B1B82" w:rsidRPr="007B3192" w14:paraId="6A856F43" w14:textId="77777777" w:rsidTr="001B1B82">
        <w:trPr>
          <w:trHeight w:val="300"/>
        </w:trPr>
        <w:tc>
          <w:tcPr>
            <w:tcW w:w="1594" w:type="dxa"/>
            <w:shd w:val="clear" w:color="auto" w:fill="auto"/>
            <w:vAlign w:val="center"/>
            <w:hideMark/>
          </w:tcPr>
          <w:p w14:paraId="06B3668B" w14:textId="77777777" w:rsidR="001B1B82" w:rsidRPr="00F76788" w:rsidRDefault="001B1B82" w:rsidP="00D10FA1">
            <w:pPr>
              <w:pStyle w:val="TableParagraph"/>
              <w:rPr>
                <w:b/>
              </w:rPr>
            </w:pPr>
            <w:r w:rsidRPr="00F76788">
              <w:rPr>
                <w:b/>
              </w:rPr>
              <w:t>Mill</w:t>
            </w:r>
          </w:p>
        </w:tc>
        <w:tc>
          <w:tcPr>
            <w:tcW w:w="2011" w:type="dxa"/>
            <w:shd w:val="clear" w:color="auto" w:fill="auto"/>
            <w:vAlign w:val="center"/>
            <w:hideMark/>
          </w:tcPr>
          <w:p w14:paraId="2B7184BD" w14:textId="000A2F7E" w:rsidR="001B1B82" w:rsidRPr="007B3192" w:rsidRDefault="001B1B82" w:rsidP="00D10FA1">
            <w:pPr>
              <w:pStyle w:val="TableParagraph"/>
            </w:pPr>
          </w:p>
        </w:tc>
      </w:tr>
      <w:tr w:rsidR="001B1B82" w:rsidRPr="007B3192" w14:paraId="487791BB" w14:textId="77777777" w:rsidTr="001B1B82">
        <w:trPr>
          <w:trHeight w:val="300"/>
        </w:trPr>
        <w:tc>
          <w:tcPr>
            <w:tcW w:w="1594" w:type="dxa"/>
            <w:shd w:val="clear" w:color="auto" w:fill="auto"/>
            <w:vAlign w:val="center"/>
            <w:hideMark/>
          </w:tcPr>
          <w:p w14:paraId="1C0A4BC9" w14:textId="77777777" w:rsidR="001B1B82" w:rsidRPr="00F76788" w:rsidRDefault="001B1B82" w:rsidP="00D10FA1">
            <w:pPr>
              <w:pStyle w:val="TableParagraph"/>
              <w:rPr>
                <w:b/>
              </w:rPr>
            </w:pPr>
            <w:r w:rsidRPr="00F76788">
              <w:rPr>
                <w:b/>
              </w:rPr>
              <w:t>Oakland</w:t>
            </w:r>
          </w:p>
        </w:tc>
        <w:tc>
          <w:tcPr>
            <w:tcW w:w="2011" w:type="dxa"/>
            <w:shd w:val="clear" w:color="auto" w:fill="auto"/>
            <w:vAlign w:val="center"/>
            <w:hideMark/>
          </w:tcPr>
          <w:p w14:paraId="520A2DD1" w14:textId="2858E6C7" w:rsidR="001B1B82" w:rsidRPr="007B3192" w:rsidRDefault="001B1B82" w:rsidP="00D10FA1">
            <w:pPr>
              <w:pStyle w:val="TableParagraph"/>
            </w:pPr>
          </w:p>
        </w:tc>
      </w:tr>
      <w:tr w:rsidR="001B1B82" w:rsidRPr="007B3192" w14:paraId="6AA91E2B" w14:textId="77777777" w:rsidTr="001B1B82">
        <w:trPr>
          <w:trHeight w:val="300"/>
        </w:trPr>
        <w:tc>
          <w:tcPr>
            <w:tcW w:w="1594" w:type="dxa"/>
            <w:shd w:val="clear" w:color="auto" w:fill="auto"/>
            <w:vAlign w:val="center"/>
            <w:hideMark/>
          </w:tcPr>
          <w:p w14:paraId="2E1EA01B" w14:textId="77777777" w:rsidR="001B1B82" w:rsidRPr="00F76788" w:rsidRDefault="001B1B82" w:rsidP="00D10FA1">
            <w:pPr>
              <w:pStyle w:val="TableParagraph"/>
              <w:rPr>
                <w:b/>
              </w:rPr>
            </w:pPr>
            <w:r w:rsidRPr="00F76788">
              <w:rPr>
                <w:b/>
              </w:rPr>
              <w:t>Skookum</w:t>
            </w:r>
          </w:p>
        </w:tc>
        <w:tc>
          <w:tcPr>
            <w:tcW w:w="2011" w:type="dxa"/>
            <w:shd w:val="clear" w:color="auto" w:fill="auto"/>
            <w:vAlign w:val="center"/>
            <w:hideMark/>
          </w:tcPr>
          <w:p w14:paraId="67F0F83C" w14:textId="2FCBB82F" w:rsidR="001B1B82" w:rsidRPr="007B3192" w:rsidRDefault="001B1B82" w:rsidP="00D10FA1">
            <w:pPr>
              <w:pStyle w:val="TableParagraph"/>
            </w:pPr>
          </w:p>
        </w:tc>
      </w:tr>
      <w:tr w:rsidR="001B1B82" w:rsidRPr="007B3192" w14:paraId="691C923A" w14:textId="77777777" w:rsidTr="001B1B82">
        <w:trPr>
          <w:trHeight w:val="300"/>
        </w:trPr>
        <w:tc>
          <w:tcPr>
            <w:tcW w:w="1594" w:type="dxa"/>
            <w:shd w:val="clear" w:color="auto" w:fill="auto"/>
            <w:vAlign w:val="center"/>
            <w:hideMark/>
          </w:tcPr>
          <w:p w14:paraId="74F74F6E" w14:textId="77777777" w:rsidR="001B1B82" w:rsidRPr="00F76788" w:rsidRDefault="001B1B82" w:rsidP="00D10FA1">
            <w:pPr>
              <w:pStyle w:val="TableParagraph"/>
              <w:rPr>
                <w:b/>
              </w:rPr>
            </w:pPr>
            <w:r w:rsidRPr="00F76788">
              <w:rPr>
                <w:b/>
              </w:rPr>
              <w:t>TOTAL</w:t>
            </w:r>
          </w:p>
        </w:tc>
        <w:tc>
          <w:tcPr>
            <w:tcW w:w="2011" w:type="dxa"/>
            <w:shd w:val="clear" w:color="auto" w:fill="auto"/>
            <w:vAlign w:val="center"/>
            <w:hideMark/>
          </w:tcPr>
          <w:p w14:paraId="4EAF19CF" w14:textId="42605606" w:rsidR="001B1B82" w:rsidRPr="007B3192" w:rsidRDefault="001B1B82" w:rsidP="00D10FA1">
            <w:pPr>
              <w:pStyle w:val="TableParagraph"/>
            </w:pPr>
          </w:p>
        </w:tc>
      </w:tr>
    </w:tbl>
    <w:p w14:paraId="1959C7D1" w14:textId="77777777" w:rsidR="001B1B82" w:rsidRPr="001B1B82" w:rsidRDefault="001B1B82" w:rsidP="001B1B82">
      <w:pPr>
        <w:rPr>
          <w:rFonts w:asciiTheme="minorHAnsi" w:hAnsiTheme="minorHAnsi" w:cstheme="minorHAnsi"/>
          <w:sz w:val="22"/>
          <w:szCs w:val="22"/>
        </w:rPr>
      </w:pPr>
    </w:p>
    <w:p w14:paraId="5D5667BB" w14:textId="2E515131" w:rsidR="00167CBC" w:rsidRDefault="00167CBC" w:rsidP="00167CBC">
      <w:pPr>
        <w:pStyle w:val="Heading1"/>
      </w:pPr>
      <w:r>
        <w:t>Questions for Committee members:</w:t>
      </w:r>
    </w:p>
    <w:p w14:paraId="634FA621" w14:textId="54A4C35E" w:rsidR="00983749" w:rsidRDefault="00235A90" w:rsidP="00167CBC">
      <w:pPr>
        <w:numPr>
          <w:ilvl w:val="0"/>
          <w:numId w:val="2"/>
        </w:numPr>
        <w:spacing w:after="0"/>
        <w:rPr>
          <w:rFonts w:asciiTheme="minorHAnsi" w:hAnsiTheme="minorHAnsi" w:cstheme="minorHAnsi"/>
          <w:sz w:val="22"/>
          <w:szCs w:val="22"/>
        </w:rPr>
      </w:pPr>
      <w:r>
        <w:rPr>
          <w:rFonts w:asciiTheme="minorHAnsi" w:hAnsiTheme="minorHAnsi" w:cstheme="minorHAnsi"/>
          <w:sz w:val="22"/>
          <w:szCs w:val="22"/>
        </w:rPr>
        <w:t>Does the committee want</w:t>
      </w:r>
      <w:r w:rsidR="00983749">
        <w:rPr>
          <w:rFonts w:asciiTheme="minorHAnsi" w:hAnsiTheme="minorHAnsi" w:cstheme="minorHAnsi"/>
          <w:sz w:val="22"/>
          <w:szCs w:val="22"/>
        </w:rPr>
        <w:t xml:space="preserve"> to finalize PE well growth</w:t>
      </w:r>
      <w:r>
        <w:rPr>
          <w:rFonts w:asciiTheme="minorHAnsi" w:hAnsiTheme="minorHAnsi" w:cstheme="minorHAnsi"/>
          <w:sz w:val="22"/>
          <w:szCs w:val="22"/>
        </w:rPr>
        <w:t xml:space="preserve"> or a CU estimate</w:t>
      </w:r>
      <w:r w:rsidR="00983749">
        <w:rPr>
          <w:rFonts w:asciiTheme="minorHAnsi" w:hAnsiTheme="minorHAnsi" w:cstheme="minorHAnsi"/>
          <w:sz w:val="22"/>
          <w:szCs w:val="22"/>
        </w:rPr>
        <w:t xml:space="preserve"> through a consensus decision?</w:t>
      </w:r>
    </w:p>
    <w:p w14:paraId="76138D14" w14:textId="77777777" w:rsidR="00167CBC" w:rsidRPr="00167CBC" w:rsidRDefault="00167CBC" w:rsidP="00167CBC">
      <w:pPr>
        <w:numPr>
          <w:ilvl w:val="0"/>
          <w:numId w:val="2"/>
        </w:numPr>
        <w:spacing w:after="0"/>
        <w:rPr>
          <w:rFonts w:asciiTheme="minorHAnsi" w:hAnsiTheme="minorHAnsi" w:cstheme="minorHAnsi"/>
          <w:sz w:val="22"/>
          <w:szCs w:val="22"/>
        </w:rPr>
      </w:pPr>
      <w:r w:rsidRPr="00167CBC">
        <w:rPr>
          <w:rFonts w:asciiTheme="minorHAnsi" w:hAnsiTheme="minorHAnsi" w:cstheme="minorHAnsi"/>
          <w:sz w:val="22"/>
          <w:szCs w:val="22"/>
        </w:rPr>
        <w:t>If the Committee does not want to select a single number, is the group comfortable with a range?</w:t>
      </w:r>
    </w:p>
    <w:p w14:paraId="5A1E6B80" w14:textId="77777777" w:rsidR="00235A90" w:rsidRDefault="00235A90" w:rsidP="00235A90">
      <w:pPr>
        <w:numPr>
          <w:ilvl w:val="0"/>
          <w:numId w:val="2"/>
        </w:numPr>
        <w:spacing w:after="0"/>
        <w:rPr>
          <w:rFonts w:asciiTheme="minorHAnsi" w:hAnsiTheme="minorHAnsi" w:cstheme="minorHAnsi"/>
          <w:sz w:val="22"/>
          <w:szCs w:val="22"/>
        </w:rPr>
      </w:pPr>
      <w:r>
        <w:rPr>
          <w:rFonts w:asciiTheme="minorHAnsi" w:hAnsiTheme="minorHAnsi" w:cstheme="minorHAnsi"/>
          <w:sz w:val="22"/>
          <w:szCs w:val="22"/>
        </w:rPr>
        <w:t xml:space="preserve">Does the committee want to include a safety factor through a consensus decision? </w:t>
      </w:r>
    </w:p>
    <w:p w14:paraId="67183CBD" w14:textId="27EB047F" w:rsidR="00167CBC" w:rsidRDefault="00822F50" w:rsidP="00167CBC">
      <w:pPr>
        <w:numPr>
          <w:ilvl w:val="0"/>
          <w:numId w:val="2"/>
        </w:numPr>
        <w:spacing w:after="0"/>
        <w:rPr>
          <w:rFonts w:asciiTheme="minorHAnsi" w:hAnsiTheme="minorHAnsi" w:cstheme="minorHAnsi"/>
          <w:sz w:val="22"/>
          <w:szCs w:val="22"/>
        </w:rPr>
      </w:pPr>
      <w:r>
        <w:rPr>
          <w:rFonts w:asciiTheme="minorHAnsi" w:hAnsiTheme="minorHAnsi" w:cstheme="minorHAnsi"/>
          <w:sz w:val="22"/>
          <w:szCs w:val="22"/>
        </w:rPr>
        <w:t>What other information is needed, if any?</w:t>
      </w:r>
    </w:p>
    <w:p w14:paraId="27DEFDE5" w14:textId="77777777" w:rsidR="00167CBC" w:rsidRDefault="00167CBC" w:rsidP="00167CBC">
      <w:pPr>
        <w:spacing w:after="0"/>
        <w:rPr>
          <w:rFonts w:asciiTheme="minorHAnsi" w:hAnsiTheme="minorHAnsi" w:cstheme="minorHAnsi"/>
          <w:sz w:val="22"/>
          <w:szCs w:val="22"/>
        </w:rPr>
      </w:pPr>
    </w:p>
    <w:p w14:paraId="30BF0EDD" w14:textId="77777777" w:rsidR="00167CBC" w:rsidRDefault="00167CBC" w:rsidP="00167CBC">
      <w:pPr>
        <w:pStyle w:val="Heading1"/>
      </w:pPr>
      <w:r>
        <w:t>Next Steps:</w:t>
      </w:r>
    </w:p>
    <w:p w14:paraId="2CA9F181" w14:textId="3B571CDC" w:rsidR="00167CBC" w:rsidRDefault="00167CBC" w:rsidP="00167CBC">
      <w:pPr>
        <w:numPr>
          <w:ilvl w:val="0"/>
          <w:numId w:val="3"/>
        </w:numPr>
        <w:spacing w:after="0"/>
        <w:rPr>
          <w:rFonts w:asciiTheme="minorHAnsi" w:hAnsiTheme="minorHAnsi" w:cstheme="minorHAnsi"/>
          <w:sz w:val="22"/>
          <w:szCs w:val="22"/>
        </w:rPr>
      </w:pPr>
      <w:r>
        <w:rPr>
          <w:rFonts w:asciiTheme="minorHAnsi" w:hAnsiTheme="minorHAnsi" w:cstheme="minorHAnsi"/>
          <w:sz w:val="22"/>
          <w:szCs w:val="22"/>
        </w:rPr>
        <w:t xml:space="preserve">Committee members to decide on </w:t>
      </w:r>
      <w:r w:rsidR="00235A90">
        <w:rPr>
          <w:rFonts w:asciiTheme="minorHAnsi" w:hAnsiTheme="minorHAnsi" w:cstheme="minorHAnsi"/>
          <w:sz w:val="22"/>
          <w:szCs w:val="22"/>
        </w:rPr>
        <w:t xml:space="preserve">how to present </w:t>
      </w:r>
      <w:r w:rsidR="00983749">
        <w:rPr>
          <w:rFonts w:asciiTheme="minorHAnsi" w:hAnsiTheme="minorHAnsi" w:cstheme="minorHAnsi"/>
          <w:sz w:val="22"/>
          <w:szCs w:val="22"/>
        </w:rPr>
        <w:t>PE well</w:t>
      </w:r>
      <w:r>
        <w:rPr>
          <w:rFonts w:asciiTheme="minorHAnsi" w:hAnsiTheme="minorHAnsi" w:cstheme="minorHAnsi"/>
          <w:sz w:val="22"/>
          <w:szCs w:val="22"/>
        </w:rPr>
        <w:t xml:space="preserve"> growth and CU</w:t>
      </w:r>
      <w:r w:rsidR="00983749">
        <w:rPr>
          <w:rFonts w:asciiTheme="minorHAnsi" w:hAnsiTheme="minorHAnsi" w:cstheme="minorHAnsi"/>
          <w:sz w:val="22"/>
          <w:szCs w:val="22"/>
        </w:rPr>
        <w:t xml:space="preserve"> estimate</w:t>
      </w:r>
      <w:r w:rsidR="00235A90">
        <w:rPr>
          <w:rFonts w:asciiTheme="minorHAnsi" w:hAnsiTheme="minorHAnsi" w:cstheme="minorHAnsi"/>
          <w:sz w:val="22"/>
          <w:szCs w:val="22"/>
        </w:rPr>
        <w:t>s</w:t>
      </w:r>
      <w:r w:rsidR="00983749">
        <w:rPr>
          <w:rFonts w:asciiTheme="minorHAnsi" w:hAnsiTheme="minorHAnsi" w:cstheme="minorHAnsi"/>
          <w:sz w:val="22"/>
          <w:szCs w:val="22"/>
        </w:rPr>
        <w:t>.</w:t>
      </w:r>
    </w:p>
    <w:p w14:paraId="0EA2A4B4" w14:textId="3633A172" w:rsidR="00167CBC" w:rsidRDefault="00167CBC" w:rsidP="00167CBC">
      <w:pPr>
        <w:numPr>
          <w:ilvl w:val="0"/>
          <w:numId w:val="3"/>
        </w:numPr>
        <w:spacing w:after="0"/>
        <w:rPr>
          <w:rFonts w:asciiTheme="minorHAnsi" w:hAnsiTheme="minorHAnsi" w:cstheme="minorHAnsi"/>
          <w:sz w:val="22"/>
          <w:szCs w:val="22"/>
        </w:rPr>
      </w:pPr>
      <w:r>
        <w:rPr>
          <w:rFonts w:asciiTheme="minorHAnsi" w:hAnsiTheme="minorHAnsi" w:cstheme="minorHAnsi"/>
          <w:sz w:val="22"/>
          <w:szCs w:val="22"/>
        </w:rPr>
        <w:t>Angela to revise chapter 4 and technical memo accordingly</w:t>
      </w:r>
      <w:r w:rsidR="00983749">
        <w:rPr>
          <w:rFonts w:asciiTheme="minorHAnsi" w:hAnsiTheme="minorHAnsi" w:cstheme="minorHAnsi"/>
          <w:sz w:val="22"/>
          <w:szCs w:val="22"/>
        </w:rPr>
        <w:t>.</w:t>
      </w:r>
    </w:p>
    <w:p w14:paraId="109541C5" w14:textId="3BAF8D9C" w:rsidR="00167CBC" w:rsidRDefault="00167CBC" w:rsidP="00167CBC">
      <w:pPr>
        <w:spacing w:after="0"/>
        <w:rPr>
          <w:rFonts w:asciiTheme="minorHAnsi" w:hAnsiTheme="minorHAnsi" w:cstheme="minorHAnsi"/>
          <w:sz w:val="22"/>
          <w:szCs w:val="22"/>
        </w:rPr>
      </w:pPr>
    </w:p>
    <w:p w14:paraId="58D85CF5" w14:textId="7F73012F" w:rsidR="00822F50" w:rsidRDefault="00822F50" w:rsidP="00167CBC">
      <w:pPr>
        <w:spacing w:after="0"/>
        <w:rPr>
          <w:rFonts w:asciiTheme="minorHAnsi" w:hAnsiTheme="minorHAnsi" w:cstheme="minorHAnsi"/>
          <w:sz w:val="22"/>
          <w:szCs w:val="22"/>
        </w:rPr>
      </w:pPr>
    </w:p>
    <w:p w14:paraId="7A0174A3" w14:textId="77777777" w:rsidR="00822F50" w:rsidRPr="00167CBC" w:rsidRDefault="00822F50" w:rsidP="00167CBC">
      <w:pPr>
        <w:spacing w:after="0"/>
        <w:rPr>
          <w:rFonts w:asciiTheme="minorHAnsi" w:hAnsiTheme="minorHAnsi" w:cstheme="minorHAnsi"/>
          <w:sz w:val="22"/>
          <w:szCs w:val="22"/>
        </w:rPr>
      </w:pPr>
    </w:p>
    <w:sectPr w:rsidR="00822F50" w:rsidRPr="00167CB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261A" w16cex:dateUtc="2020-09-02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64A990" w16cid:durableId="22FA261A"/>
  <w16cid:commentId w16cid:paraId="77C4B12D" w16cid:durableId="22FA26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26FD"/>
    <w:multiLevelType w:val="hybridMultilevel"/>
    <w:tmpl w:val="06CAA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EF6212"/>
    <w:multiLevelType w:val="hybridMultilevel"/>
    <w:tmpl w:val="F69EC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70F20"/>
    <w:multiLevelType w:val="hybridMultilevel"/>
    <w:tmpl w:val="06CAA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2C"/>
    <w:rsid w:val="00122136"/>
    <w:rsid w:val="00136497"/>
    <w:rsid w:val="0016222C"/>
    <w:rsid w:val="00167CBC"/>
    <w:rsid w:val="001B1B82"/>
    <w:rsid w:val="00235A90"/>
    <w:rsid w:val="00415F18"/>
    <w:rsid w:val="00657774"/>
    <w:rsid w:val="00822F50"/>
    <w:rsid w:val="0085000D"/>
    <w:rsid w:val="009712DB"/>
    <w:rsid w:val="00981D1E"/>
    <w:rsid w:val="00983749"/>
    <w:rsid w:val="00CF2CE3"/>
    <w:rsid w:val="00DF53AD"/>
    <w:rsid w:val="00F5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4514"/>
  <w15:chartTrackingRefBased/>
  <w15:docId w15:val="{D9A7E285-9DB3-4664-A3CB-D8CE226C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222C"/>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62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aption">
    <w:name w:val="Table Caption"/>
    <w:basedOn w:val="Caption"/>
    <w:link w:val="TableCaptionChar"/>
    <w:qFormat/>
    <w:rsid w:val="0016222C"/>
    <w:pPr>
      <w:keepNext/>
      <w:spacing w:before="360" w:after="120"/>
    </w:pPr>
    <w:rPr>
      <w:rFonts w:ascii="Arial" w:hAnsi="Arial"/>
      <w:b/>
      <w:bCs/>
      <w:i w:val="0"/>
      <w:iCs w:val="0"/>
      <w:color w:val="auto"/>
      <w:sz w:val="20"/>
    </w:rPr>
  </w:style>
  <w:style w:type="character" w:customStyle="1" w:styleId="TableCaptionChar">
    <w:name w:val="Table Caption Char"/>
    <w:basedOn w:val="DefaultParagraphFont"/>
    <w:link w:val="TableCaption"/>
    <w:rsid w:val="0016222C"/>
    <w:rPr>
      <w:rFonts w:ascii="Arial" w:eastAsia="Times New Roman" w:hAnsi="Arial" w:cs="Times New Roman"/>
      <w:b/>
      <w:bCs/>
      <w:sz w:val="20"/>
      <w:szCs w:val="18"/>
    </w:rPr>
  </w:style>
  <w:style w:type="paragraph" w:customStyle="1" w:styleId="TableText">
    <w:name w:val="Table Text"/>
    <w:basedOn w:val="Normal"/>
    <w:rsid w:val="0016222C"/>
    <w:pPr>
      <w:spacing w:before="60" w:after="60"/>
    </w:pPr>
    <w:rPr>
      <w:rFonts w:ascii="Arial" w:hAnsi="Arial"/>
      <w:sz w:val="20"/>
    </w:rPr>
  </w:style>
  <w:style w:type="paragraph" w:customStyle="1" w:styleId="TableHeading">
    <w:name w:val="Table Heading"/>
    <w:basedOn w:val="TableText"/>
    <w:rsid w:val="0016222C"/>
    <w:pPr>
      <w:jc w:val="center"/>
    </w:pPr>
    <w:rPr>
      <w:rFonts w:ascii="Arial Bold" w:hAnsi="Arial Bold"/>
      <w:b/>
      <w:szCs w:val="22"/>
    </w:rPr>
  </w:style>
  <w:style w:type="paragraph" w:styleId="Caption">
    <w:name w:val="caption"/>
    <w:basedOn w:val="Normal"/>
    <w:next w:val="Normal"/>
    <w:link w:val="CaptionChar"/>
    <w:uiPriority w:val="35"/>
    <w:unhideWhenUsed/>
    <w:qFormat/>
    <w:rsid w:val="0016222C"/>
    <w:pPr>
      <w:spacing w:after="200"/>
    </w:pPr>
    <w:rPr>
      <w:i/>
      <w:iCs/>
      <w:color w:val="44546A" w:themeColor="text2"/>
      <w:sz w:val="18"/>
      <w:szCs w:val="18"/>
    </w:rPr>
  </w:style>
  <w:style w:type="paragraph" w:styleId="Title">
    <w:name w:val="Title"/>
    <w:basedOn w:val="Normal"/>
    <w:next w:val="Normal"/>
    <w:link w:val="TitleChar"/>
    <w:uiPriority w:val="10"/>
    <w:qFormat/>
    <w:rsid w:val="0016222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2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222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67CBC"/>
    <w:pPr>
      <w:ind w:left="720"/>
      <w:contextualSpacing/>
    </w:pPr>
  </w:style>
  <w:style w:type="character" w:styleId="CommentReference">
    <w:name w:val="annotation reference"/>
    <w:basedOn w:val="DefaultParagraphFont"/>
    <w:uiPriority w:val="99"/>
    <w:semiHidden/>
    <w:rsid w:val="0085000D"/>
    <w:rPr>
      <w:sz w:val="16"/>
      <w:szCs w:val="16"/>
    </w:rPr>
  </w:style>
  <w:style w:type="paragraph" w:styleId="CommentText">
    <w:name w:val="annotation text"/>
    <w:basedOn w:val="Normal"/>
    <w:link w:val="CommentTextChar"/>
    <w:uiPriority w:val="99"/>
    <w:rsid w:val="0085000D"/>
    <w:rPr>
      <w:sz w:val="20"/>
    </w:rPr>
  </w:style>
  <w:style w:type="character" w:customStyle="1" w:styleId="CommentTextChar">
    <w:name w:val="Comment Text Char"/>
    <w:basedOn w:val="DefaultParagraphFont"/>
    <w:link w:val="CommentText"/>
    <w:uiPriority w:val="99"/>
    <w:rsid w:val="0085000D"/>
    <w:rPr>
      <w:rFonts w:ascii="Times New Roman" w:eastAsia="Times New Roman" w:hAnsi="Times New Roman" w:cs="Times New Roman"/>
      <w:sz w:val="20"/>
      <w:szCs w:val="20"/>
    </w:rPr>
  </w:style>
  <w:style w:type="paragraph" w:customStyle="1" w:styleId="Paragraph">
    <w:name w:val="Paragraph"/>
    <w:basedOn w:val="Normal"/>
    <w:link w:val="ParagraphChar"/>
    <w:qFormat/>
    <w:rsid w:val="0085000D"/>
    <w:pPr>
      <w:spacing w:before="120" w:after="180" w:line="259" w:lineRule="auto"/>
    </w:pPr>
    <w:rPr>
      <w:rFonts w:asciiTheme="minorHAnsi" w:hAnsiTheme="minorHAnsi"/>
      <w:shd w:val="clear" w:color="auto" w:fill="FFFFFF"/>
    </w:rPr>
  </w:style>
  <w:style w:type="character" w:customStyle="1" w:styleId="ParagraphChar">
    <w:name w:val="Paragraph Char"/>
    <w:basedOn w:val="DefaultParagraphFont"/>
    <w:link w:val="Paragraph"/>
    <w:rsid w:val="0085000D"/>
    <w:rPr>
      <w:rFonts w:eastAsia="Times New Roman" w:cs="Times New Roman"/>
      <w:sz w:val="24"/>
      <w:szCs w:val="20"/>
    </w:rPr>
  </w:style>
  <w:style w:type="paragraph" w:styleId="BalloonText">
    <w:name w:val="Balloon Text"/>
    <w:basedOn w:val="Normal"/>
    <w:link w:val="BalloonTextChar"/>
    <w:uiPriority w:val="99"/>
    <w:semiHidden/>
    <w:unhideWhenUsed/>
    <w:rsid w:val="008500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0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5000D"/>
    <w:rPr>
      <w:b/>
      <w:bCs/>
    </w:rPr>
  </w:style>
  <w:style w:type="character" w:customStyle="1" w:styleId="CommentSubjectChar">
    <w:name w:val="Comment Subject Char"/>
    <w:basedOn w:val="CommentTextChar"/>
    <w:link w:val="CommentSubject"/>
    <w:uiPriority w:val="99"/>
    <w:semiHidden/>
    <w:rsid w:val="0085000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36497"/>
    <w:rPr>
      <w:color w:val="0563C1" w:themeColor="hyperlink"/>
      <w:u w:val="single"/>
    </w:rPr>
  </w:style>
  <w:style w:type="paragraph" w:customStyle="1" w:styleId="TableParagraph">
    <w:name w:val="Table Paragraph"/>
    <w:basedOn w:val="Normal"/>
    <w:uiPriority w:val="1"/>
    <w:qFormat/>
    <w:rsid w:val="00CF2CE3"/>
    <w:pPr>
      <w:widowControl w:val="0"/>
    </w:pPr>
    <w:rPr>
      <w:rFonts w:ascii="Arial" w:hAnsi="Arial"/>
      <w:sz w:val="20"/>
      <w:szCs w:val="22"/>
    </w:rPr>
  </w:style>
  <w:style w:type="character" w:customStyle="1" w:styleId="CaptionChar">
    <w:name w:val="Caption Char"/>
    <w:basedOn w:val="DefaultParagraphFont"/>
    <w:link w:val="Caption"/>
    <w:uiPriority w:val="35"/>
    <w:rsid w:val="00CF2CE3"/>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box.com/s/ph4y6dy602miywbo3t5n7r25xebu172w" TargetMode="External"/><Relationship Id="rId11" Type="http://schemas.openxmlformats.org/officeDocument/2006/relationships/customXml" Target="../customXml/item1.xml"/><Relationship Id="rId5" Type="http://schemas.openxmlformats.org/officeDocument/2006/relationships/hyperlink" Target="https://app.box.com/s/yo5gfrrpqsyrzhsyx6jdwkp5w170p7we"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c44f9fce17019c1bc8dbf42b0d3cc47">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09df2a9eeb07cef0937ecde24f2cbc68"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Props1.xml><?xml version="1.0" encoding="utf-8"?>
<ds:datastoreItem xmlns:ds="http://schemas.openxmlformats.org/officeDocument/2006/customXml" ds:itemID="{6BEB60A0-012C-4009-9DB8-94BB48C5A6BF}"/>
</file>

<file path=customXml/itemProps2.xml><?xml version="1.0" encoding="utf-8"?>
<ds:datastoreItem xmlns:ds="http://schemas.openxmlformats.org/officeDocument/2006/customXml" ds:itemID="{4C653A2A-3BF0-4B7E-8EC4-65A6808CC8DA}"/>
</file>

<file path=customXml/itemProps3.xml><?xml version="1.0" encoding="utf-8"?>
<ds:datastoreItem xmlns:ds="http://schemas.openxmlformats.org/officeDocument/2006/customXml" ds:itemID="{221F0F87-F0C8-4ACB-9CFA-943A7E766528}"/>
</file>

<file path=docProps/app.xml><?xml version="1.0" encoding="utf-8"?>
<Properties xmlns="http://schemas.openxmlformats.org/officeDocument/2006/extended-properties" xmlns:vt="http://schemas.openxmlformats.org/officeDocument/2006/docPropsVTypes">
  <Template>Normal.dotm</Template>
  <TotalTime>1</TotalTime>
  <Pages>4</Pages>
  <Words>906</Words>
  <Characters>5165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WRIA 14 Consumptive Use Discussion Guide</vt:lpstr>
    </vt:vector>
  </TitlesOfParts>
  <Company>WA Department of Ecology</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Consumptive Use Discussion Guide</dc:title>
  <dc:subject/>
  <dc:creator>Johnson, Angela (ECY)</dc:creator>
  <cp:keywords/>
  <dc:description/>
  <cp:lastModifiedBy>Johnson, Angela (ECY)</cp:lastModifiedBy>
  <cp:revision>2</cp:revision>
  <dcterms:created xsi:type="dcterms:W3CDTF">2020-09-03T03:30:00Z</dcterms:created>
  <dcterms:modified xsi:type="dcterms:W3CDTF">2020-09-03T03:30:00Z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