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2EC731F3" w:rsidR="00312A3A" w:rsidRDefault="00312A3A" w:rsidP="00312A3A">
      <w:pPr>
        <w:pStyle w:val="Titlestyle"/>
        <w:rPr>
          <w:sz w:val="36"/>
          <w:szCs w:val="28"/>
        </w:rPr>
      </w:pPr>
      <w:bookmarkStart w:id="0" w:name="_GoBack"/>
      <w:r w:rsidRPr="00042625">
        <w:rPr>
          <w:noProof/>
          <w:color w:val="FF0000"/>
          <w:sz w:val="36"/>
          <w:szCs w:val="28"/>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bookmarkEnd w:id="0"/>
      <w:r w:rsidR="004255C0">
        <w:rPr>
          <w:sz w:val="36"/>
          <w:szCs w:val="28"/>
        </w:rPr>
        <w:t>Discussion Guide</w:t>
      </w:r>
    </w:p>
    <w:p w14:paraId="2AD3FEE9" w14:textId="5984729A" w:rsidR="004255C0" w:rsidRDefault="00712169" w:rsidP="00312A3A">
      <w:pPr>
        <w:pStyle w:val="Titlestyle"/>
        <w:rPr>
          <w:b/>
          <w:sz w:val="36"/>
          <w:szCs w:val="28"/>
        </w:rPr>
      </w:pPr>
      <w:r>
        <w:rPr>
          <w:b/>
          <w:sz w:val="36"/>
          <w:szCs w:val="28"/>
        </w:rPr>
        <w:t>Sub-Basin Delineations</w:t>
      </w:r>
    </w:p>
    <w:p w14:paraId="66CDA910" w14:textId="054F2CFA" w:rsidR="00712169" w:rsidRPr="004255C0" w:rsidRDefault="00712169" w:rsidP="00373420">
      <w:pPr>
        <w:pStyle w:val="Titlestyle"/>
        <w:ind w:firstLine="0"/>
        <w:rPr>
          <w:b/>
          <w:sz w:val="36"/>
          <w:szCs w:val="28"/>
        </w:rPr>
      </w:pPr>
    </w:p>
    <w:p w14:paraId="77DC2209" w14:textId="497D2998" w:rsidR="00246EA3" w:rsidRDefault="00467142" w:rsidP="00246EA3">
      <w:pPr>
        <w:pStyle w:val="Sub-titlestyle"/>
        <w:rPr>
          <w:b/>
          <w:color w:val="44688F"/>
        </w:rPr>
      </w:pPr>
      <w:r>
        <w:rPr>
          <w:b/>
          <w:color w:val="44688F"/>
        </w:rPr>
        <w:t xml:space="preserve">WRIA </w:t>
      </w:r>
      <w:r w:rsidR="00712169">
        <w:rPr>
          <w:b/>
          <w:color w:val="44688F"/>
        </w:rPr>
        <w:t xml:space="preserve">15 </w:t>
      </w:r>
      <w:r w:rsidR="00FF7C94" w:rsidRPr="009E4424">
        <w:rPr>
          <w:b/>
          <w:color w:val="44688F"/>
        </w:rPr>
        <w:t>Watershed Restoration and Enhancement</w:t>
      </w:r>
    </w:p>
    <w:p w14:paraId="61B17D97" w14:textId="09134663" w:rsidR="00625CB8" w:rsidRPr="009E4424" w:rsidRDefault="00625CB8" w:rsidP="00246EA3">
      <w:pPr>
        <w:pStyle w:val="Sub-titlestyle"/>
        <w:rPr>
          <w:b/>
          <w:color w:val="44688F"/>
        </w:rPr>
      </w:pPr>
      <w:r>
        <w:rPr>
          <w:b/>
          <w:color w:val="44688F"/>
        </w:rPr>
        <w:t>Committee and Workgroup Meeting</w:t>
      </w:r>
    </w:p>
    <w:p w14:paraId="10A40D76" w14:textId="1FF04DA7" w:rsidR="0044453B" w:rsidRPr="009E4424" w:rsidRDefault="00FB469F" w:rsidP="00246EA3">
      <w:pPr>
        <w:pStyle w:val="Sub-titlestyle"/>
        <w:rPr>
          <w:color w:val="44688F"/>
        </w:rPr>
      </w:pPr>
      <w:r>
        <w:rPr>
          <w:color w:val="44688F"/>
        </w:rPr>
        <w:t>May 2</w:t>
      </w:r>
      <w:r w:rsidR="00FF7C94" w:rsidRPr="009E4424">
        <w:rPr>
          <w:color w:val="44688F"/>
        </w:rPr>
        <w:t xml:space="preserve">, 2019 </w:t>
      </w:r>
    </w:p>
    <w:p w14:paraId="00A5265D" w14:textId="59C5E58D" w:rsidR="00312A3A" w:rsidRDefault="00312A3A" w:rsidP="00246EA3">
      <w:pPr>
        <w:pStyle w:val="Sub-titlestyle"/>
      </w:pPr>
    </w:p>
    <w:p w14:paraId="3BE92124" w14:textId="6C8E5CCD" w:rsidR="004F6617" w:rsidRPr="004F6617" w:rsidRDefault="004F6617" w:rsidP="004F6617">
      <w:pPr>
        <w:pStyle w:val="Heading1"/>
        <w:spacing w:before="0"/>
        <w:rPr>
          <w:b w:val="0"/>
          <w:bCs/>
          <w:color w:val="1F497D"/>
          <w:sz w:val="24"/>
          <w:szCs w:val="23"/>
        </w:rPr>
      </w:pPr>
      <w:r w:rsidRPr="004F6617">
        <w:rPr>
          <w:sz w:val="24"/>
          <w:szCs w:val="23"/>
        </w:rPr>
        <w:t>Purpose of Discussion</w:t>
      </w:r>
    </w:p>
    <w:p w14:paraId="65C1CF56" w14:textId="221B0C3B" w:rsidR="00712169" w:rsidRDefault="00712169" w:rsidP="00712169">
      <w:r>
        <w:t xml:space="preserve"> </w:t>
      </w:r>
      <w:r w:rsidR="00581605">
        <w:t xml:space="preserve">The Committee </w:t>
      </w:r>
      <w:r w:rsidR="00373420">
        <w:t>will consider</w:t>
      </w:r>
      <w:r>
        <w:t xml:space="preserve"> options for WRIA 15 sub-basins, discuss and evaluate the pros and cons of various options, and </w:t>
      </w:r>
      <w:r w:rsidR="003F5943">
        <w:t xml:space="preserve">develop questions and/or guidance for the </w:t>
      </w:r>
      <w:r w:rsidR="00581605">
        <w:t xml:space="preserve">workgroup or </w:t>
      </w:r>
      <w:r w:rsidR="003F5943">
        <w:t>technical consultants to consider as they develop options for consideration by the full committee</w:t>
      </w:r>
      <w:r>
        <w:t xml:space="preserve">. The </w:t>
      </w:r>
      <w:r w:rsidR="00AD4D96">
        <w:t>C</w:t>
      </w:r>
      <w:r>
        <w:t>ommittee is expected to make a decision at our June meeting.</w:t>
      </w:r>
      <w:r w:rsidR="00AD4D96">
        <w:t xml:space="preserve"> The Committee can choose to revisit the </w:t>
      </w:r>
      <w:proofErr w:type="spellStart"/>
      <w:r w:rsidR="00AD4D96">
        <w:t>subbasin</w:t>
      </w:r>
      <w:proofErr w:type="spellEnd"/>
      <w:r w:rsidR="00AD4D96">
        <w:t xml:space="preserve"> delineations as projects are identified.</w:t>
      </w:r>
    </w:p>
    <w:p w14:paraId="64DDA2B8" w14:textId="4E729523" w:rsidR="00426D7F" w:rsidRDefault="004F6617" w:rsidP="004F6617">
      <w:pPr>
        <w:pStyle w:val="Heading1"/>
        <w:rPr>
          <w:sz w:val="24"/>
        </w:rPr>
      </w:pPr>
      <w:r w:rsidRPr="004F6617">
        <w:rPr>
          <w:sz w:val="24"/>
        </w:rPr>
        <w:t>Background</w:t>
      </w:r>
      <w:r>
        <w:rPr>
          <w:sz w:val="24"/>
        </w:rPr>
        <w:t xml:space="preserve"> and Context</w:t>
      </w:r>
    </w:p>
    <w:p w14:paraId="66EE2394" w14:textId="50788847" w:rsidR="00712169" w:rsidRDefault="00712169" w:rsidP="00712169">
      <w:pPr>
        <w:pStyle w:val="Heading2"/>
      </w:pPr>
      <w:r>
        <w:t>Why we need sub-basins:</w:t>
      </w:r>
    </w:p>
    <w:p w14:paraId="58D7CC51" w14:textId="18655B8B" w:rsidR="00712169" w:rsidRDefault="00712169" w:rsidP="00712169">
      <w:r w:rsidRPr="00AC3A3A">
        <w:t xml:space="preserve">RCW </w:t>
      </w:r>
      <w:r>
        <w:t>90.94.030(3</w:t>
      </w:r>
      <w:proofErr w:type="gramStart"/>
      <w:r>
        <w:t>)(</w:t>
      </w:r>
      <w:proofErr w:type="gramEnd"/>
      <w:r>
        <w:t>b) says plans must</w:t>
      </w:r>
      <w:r w:rsidRPr="00AC3A3A">
        <w:t xml:space="preserve"> include actions to offset new consumptive use impacts</w:t>
      </w:r>
      <w:r>
        <w:t xml:space="preserve"> associated with permit-exempt domestic water use. RCW 90.94.030(3</w:t>
      </w:r>
      <w:proofErr w:type="gramStart"/>
      <w:r>
        <w:t>)(</w:t>
      </w:r>
      <w:proofErr w:type="gramEnd"/>
      <w:r>
        <w:t>b) states “The highest priority recommendations must include replacing the quantity of consumptive water use during the same time as the impact and in the same basin or tributary.”</w:t>
      </w:r>
      <w:r w:rsidRPr="00AC3A3A">
        <w:t xml:space="preserve"> </w:t>
      </w:r>
      <w:r>
        <w:t>Therefore, the Committee will work to identify projects to offset impacts from permit-exempt wells within the same sub-basin.</w:t>
      </w:r>
    </w:p>
    <w:p w14:paraId="03759241" w14:textId="10DEF9B1" w:rsidR="00712169" w:rsidRDefault="00712169" w:rsidP="00712169"/>
    <w:p w14:paraId="551DBEBC" w14:textId="2C1A48C9" w:rsidR="00712169" w:rsidRDefault="00712169" w:rsidP="00712169">
      <w:pPr>
        <w:pStyle w:val="Heading2"/>
      </w:pPr>
      <w:r>
        <w:t>Available Resources:</w:t>
      </w:r>
    </w:p>
    <w:p w14:paraId="07670F8E" w14:textId="5C036B1C" w:rsidR="00712169" w:rsidRPr="00712169" w:rsidRDefault="00712169" w:rsidP="00712169">
      <w:r>
        <w:t xml:space="preserve">Sub-basins were identified during the WRIA 15 watershed planning effort </w:t>
      </w:r>
      <w:r w:rsidRPr="00373420">
        <w:t>(</w:t>
      </w:r>
      <w:r w:rsidR="00AD4D96">
        <w:t xml:space="preserve">see </w:t>
      </w:r>
      <w:proofErr w:type="spellStart"/>
      <w:r w:rsidR="00AD4D96">
        <w:t>subbasin</w:t>
      </w:r>
      <w:proofErr w:type="spellEnd"/>
      <w:r w:rsidR="00AD4D96">
        <w:t xml:space="preserve"> presentation on the C</w:t>
      </w:r>
      <w:r w:rsidR="00581605">
        <w:t>ommittee webpage)</w:t>
      </w:r>
      <w:r w:rsidR="00373420">
        <w:t>.</w:t>
      </w:r>
      <w:r>
        <w:t xml:space="preserve">  In addition, </w:t>
      </w:r>
      <w:r w:rsidR="00AD4D96">
        <w:t>maps of historic trends in wells, stream closures, purveyor service areas, fish distribution and other sources can be helpful.</w:t>
      </w:r>
      <w:r>
        <w:t xml:space="preserve">  </w:t>
      </w:r>
      <w:r w:rsidR="00AD4D96">
        <w:t xml:space="preserve">The Squaxin Island Tribe, Pierce County, and KPUD have also proposed </w:t>
      </w:r>
      <w:proofErr w:type="spellStart"/>
      <w:r w:rsidR="00AD4D96">
        <w:t>subbasin</w:t>
      </w:r>
      <w:proofErr w:type="spellEnd"/>
      <w:r w:rsidR="00AD4D96">
        <w:t xml:space="preserve"> options as a starting point for discussion. </w:t>
      </w:r>
      <w:r>
        <w:t xml:space="preserve">The </w:t>
      </w:r>
      <w:r w:rsidR="00AD4D96">
        <w:t>Committee</w:t>
      </w:r>
      <w:r>
        <w:t xml:space="preserve"> may choose to </w:t>
      </w:r>
      <w:r w:rsidR="005E44AF">
        <w:t xml:space="preserve">start from these </w:t>
      </w:r>
      <w:r w:rsidR="00AD4D96">
        <w:t xml:space="preserve">existing resources </w:t>
      </w:r>
      <w:r w:rsidR="005E44AF">
        <w:t>or m</w:t>
      </w:r>
      <w:r w:rsidR="003F5943">
        <w:t>a</w:t>
      </w:r>
      <w:r w:rsidR="005E44AF">
        <w:t xml:space="preserve">y choose to </w:t>
      </w:r>
      <w:r w:rsidR="00AD4D96">
        <w:t>start from scratch</w:t>
      </w:r>
      <w:r w:rsidR="005E44AF">
        <w:t>.</w:t>
      </w:r>
    </w:p>
    <w:p w14:paraId="6A3087EA" w14:textId="77777777" w:rsidR="00712169" w:rsidRDefault="00712169" w:rsidP="00712169"/>
    <w:p w14:paraId="6FEC5590" w14:textId="3E625BE3" w:rsidR="00712169" w:rsidRPr="007E44A8" w:rsidRDefault="007F03F7" w:rsidP="00712169">
      <w:pPr>
        <w:pStyle w:val="Heading2"/>
      </w:pPr>
      <w:hyperlink r:id="rId12" w:history="1">
        <w:r w:rsidR="00712169" w:rsidRPr="00D80792">
          <w:t>Key</w:t>
        </w:r>
      </w:hyperlink>
      <w:r w:rsidR="00712169">
        <w:t xml:space="preserve"> C</w:t>
      </w:r>
      <w:r w:rsidR="00712169" w:rsidRPr="007E44A8">
        <w:t>onsiderations</w:t>
      </w:r>
      <w:r w:rsidR="005E44AF">
        <w:t xml:space="preserve"> in delineating sub-basins</w:t>
      </w:r>
      <w:r w:rsidR="00712169" w:rsidRPr="007E44A8">
        <w:t>:</w:t>
      </w:r>
    </w:p>
    <w:p w14:paraId="589B61BC" w14:textId="15A8763E" w:rsidR="00712169" w:rsidRDefault="00712169" w:rsidP="00712169">
      <w:pPr>
        <w:pStyle w:val="Bullet"/>
      </w:pPr>
      <w:r>
        <w:t xml:space="preserve">The Committee should consider the optimal size for </w:t>
      </w:r>
      <w:r w:rsidRPr="007E44A8">
        <w:t>sub</w:t>
      </w:r>
      <w:r>
        <w:t xml:space="preserve">-basins within WRIA 15.   </w:t>
      </w:r>
      <w:r w:rsidRPr="007E44A8">
        <w:t>Too few sub</w:t>
      </w:r>
      <w:r>
        <w:t>-</w:t>
      </w:r>
      <w:r w:rsidRPr="007E44A8">
        <w:t xml:space="preserve">basins </w:t>
      </w:r>
      <w:r>
        <w:t xml:space="preserve">will </w:t>
      </w:r>
      <w:r w:rsidRPr="007E44A8">
        <w:t xml:space="preserve">reduce understanding of relationships between where </w:t>
      </w:r>
      <w:r w:rsidR="00F2286E">
        <w:t>water will be withdrawn from new wells</w:t>
      </w:r>
      <w:r w:rsidRPr="007E44A8">
        <w:t xml:space="preserve"> and where benefits of offset projects will occur. Too many sub</w:t>
      </w:r>
      <w:r>
        <w:t>-</w:t>
      </w:r>
      <w:r w:rsidRPr="007E44A8">
        <w:t xml:space="preserve">basins can make it unwieldly to evaluate </w:t>
      </w:r>
      <w:r w:rsidR="00373420" w:rsidRPr="007E44A8">
        <w:t>all</w:t>
      </w:r>
      <w:r w:rsidRPr="007E44A8">
        <w:t xml:space="preserve"> the offset projects needed to achieve a net ecological benefit for the </w:t>
      </w:r>
      <w:r w:rsidR="00F2286E" w:rsidRPr="007E44A8">
        <w:t>WRIA</w:t>
      </w:r>
      <w:r w:rsidR="00F2286E">
        <w:t xml:space="preserve"> and</w:t>
      </w:r>
      <w:r>
        <w:t xml:space="preserve"> </w:t>
      </w:r>
      <w:r w:rsidR="00F2286E">
        <w:t>could also</w:t>
      </w:r>
      <w:r>
        <w:t xml:space="preserve"> make it difficult to correlate benefits and impacts within the same sub-basin</w:t>
      </w:r>
      <w:r w:rsidRPr="007E44A8">
        <w:t>.</w:t>
      </w:r>
    </w:p>
    <w:p w14:paraId="5C013CD7" w14:textId="21237209" w:rsidR="00712169" w:rsidRDefault="00712169" w:rsidP="00712169">
      <w:pPr>
        <w:pStyle w:val="Bullet"/>
      </w:pPr>
      <w:r>
        <w:t>Hydrogeological sub-basins (based on groundwater instead of surface water flows) can be more complex to delineate, since water in different aquifer levels can travel in different directions, and we don’t have all the information on the hydrogeology.</w:t>
      </w:r>
      <w:r w:rsidR="005E44AF">
        <w:t xml:space="preserve"> However, the </w:t>
      </w:r>
      <w:r w:rsidR="00AD4D96">
        <w:t>Committee</w:t>
      </w:r>
      <w:r w:rsidR="005E44AF">
        <w:t xml:space="preserve"> may want to generally consider surface hydrology as well as rainfall patterns and other water flow information.</w:t>
      </w:r>
    </w:p>
    <w:p w14:paraId="52505F16" w14:textId="705CA9E1" w:rsidR="005E44AF" w:rsidRDefault="005E44AF" w:rsidP="00373420">
      <w:pPr>
        <w:pStyle w:val="Bullet"/>
        <w:numPr>
          <w:ilvl w:val="0"/>
          <w:numId w:val="0"/>
        </w:numPr>
        <w:ind w:left="720"/>
      </w:pPr>
    </w:p>
    <w:p w14:paraId="2DEE033E" w14:textId="0F2CCA1A" w:rsidR="005E44AF" w:rsidRDefault="005E44AF" w:rsidP="005E44AF">
      <w:pPr>
        <w:pStyle w:val="Bullet"/>
        <w:numPr>
          <w:ilvl w:val="0"/>
          <w:numId w:val="0"/>
        </w:numPr>
        <w:ind w:left="360" w:hanging="360"/>
      </w:pPr>
      <w:r>
        <w:t xml:space="preserve">In considering sub-basins, the </w:t>
      </w:r>
      <w:r w:rsidR="00AD4D96">
        <w:t>Committee</w:t>
      </w:r>
      <w:r w:rsidR="003F5943">
        <w:t xml:space="preserve"> </w:t>
      </w:r>
      <w:r>
        <w:t xml:space="preserve">may also </w:t>
      </w:r>
      <w:r w:rsidR="003F5943">
        <w:t xml:space="preserve">want to </w:t>
      </w:r>
      <w:r>
        <w:t>consider:</w:t>
      </w:r>
    </w:p>
    <w:p w14:paraId="45DA0085" w14:textId="4B4059BE" w:rsidR="005E44AF" w:rsidRDefault="005E44AF" w:rsidP="00945B32">
      <w:pPr>
        <w:pStyle w:val="Bullet"/>
      </w:pPr>
      <w:r w:rsidRPr="005E44AF">
        <w:t>Areas of anticipated rural growth</w:t>
      </w:r>
      <w:r>
        <w:t xml:space="preserve"> and a</w:t>
      </w:r>
      <w:r w:rsidRPr="005E44AF">
        <w:t>reas where little rural growth is expected.</w:t>
      </w:r>
    </w:p>
    <w:p w14:paraId="7EBFA65C" w14:textId="23718C46" w:rsidR="00AD4D96" w:rsidRPr="005E44AF" w:rsidRDefault="00AD4D96" w:rsidP="00945B32">
      <w:pPr>
        <w:pStyle w:val="Bullet"/>
      </w:pPr>
      <w:r>
        <w:t>Priority areas for salmon recovery to ensure projects occur in critical habitats</w:t>
      </w:r>
    </w:p>
    <w:p w14:paraId="4552151D" w14:textId="4A308D46" w:rsidR="00AD4D96" w:rsidRDefault="005E44AF" w:rsidP="005E44AF">
      <w:pPr>
        <w:pStyle w:val="Bullet"/>
      </w:pPr>
      <w:r w:rsidRPr="005E44AF">
        <w:t>Isolated areas for offsets (e.g. islands</w:t>
      </w:r>
      <w:r w:rsidR="00AD4D96">
        <w:t xml:space="preserve"> such as Vashon-Maury, Fox, McNeil, </w:t>
      </w:r>
      <w:r w:rsidR="00373420">
        <w:t>etc.</w:t>
      </w:r>
      <w:r w:rsidRPr="005E44AF">
        <w:t>).</w:t>
      </w:r>
    </w:p>
    <w:p w14:paraId="12467F83" w14:textId="77777777" w:rsidR="00373420" w:rsidRDefault="00373420" w:rsidP="00373420">
      <w:pPr>
        <w:pStyle w:val="Bullet"/>
        <w:numPr>
          <w:ilvl w:val="0"/>
          <w:numId w:val="0"/>
        </w:numPr>
        <w:ind w:left="360" w:hanging="360"/>
      </w:pPr>
    </w:p>
    <w:p w14:paraId="3CFD2AA3" w14:textId="001EE057" w:rsidR="00AD4D96" w:rsidRPr="0036474D" w:rsidRDefault="00AD4D96" w:rsidP="0036474D">
      <w:pPr>
        <w:pStyle w:val="Bullet"/>
        <w:numPr>
          <w:ilvl w:val="0"/>
          <w:numId w:val="0"/>
        </w:numPr>
        <w:spacing w:after="0"/>
      </w:pPr>
      <w:r w:rsidRPr="0036474D">
        <w:lastRenderedPageBreak/>
        <w:t xml:space="preserve">The workgroup </w:t>
      </w:r>
      <w:r w:rsidR="0036474D" w:rsidRPr="0036474D">
        <w:t xml:space="preserve">has developed these proposed components as a </w:t>
      </w:r>
      <w:r w:rsidR="004B2085" w:rsidRPr="0036474D">
        <w:t>starting point for committee discussion</w:t>
      </w:r>
      <w:r w:rsidR="0036474D">
        <w:t>:</w:t>
      </w:r>
    </w:p>
    <w:p w14:paraId="114AE703" w14:textId="77777777" w:rsidR="00AD4D96" w:rsidRPr="0036474D" w:rsidRDefault="00AD4D96" w:rsidP="0036474D">
      <w:pPr>
        <w:pStyle w:val="ListParagraph"/>
        <w:numPr>
          <w:ilvl w:val="0"/>
          <w:numId w:val="26"/>
        </w:numPr>
        <w:contextualSpacing w:val="0"/>
        <w:rPr>
          <w:rFonts w:ascii="Times New Roman" w:hAnsi="Times New Roman"/>
        </w:rPr>
      </w:pPr>
      <w:r w:rsidRPr="0036474D">
        <w:t xml:space="preserve">Vashon-Maury is one </w:t>
      </w:r>
      <w:proofErr w:type="spellStart"/>
      <w:r w:rsidRPr="0036474D">
        <w:t>subbasin</w:t>
      </w:r>
      <w:proofErr w:type="spellEnd"/>
    </w:p>
    <w:p w14:paraId="018D1ADC" w14:textId="3D80B6CF" w:rsidR="00AD4D96" w:rsidRPr="0036474D" w:rsidRDefault="00AD4D96" w:rsidP="0036474D">
      <w:pPr>
        <w:pStyle w:val="ListParagraph"/>
        <w:numPr>
          <w:ilvl w:val="0"/>
          <w:numId w:val="26"/>
        </w:numPr>
        <w:contextualSpacing w:val="0"/>
      </w:pPr>
      <w:r w:rsidRPr="0036474D">
        <w:t xml:space="preserve">Bainbridge Island is one </w:t>
      </w:r>
      <w:proofErr w:type="spellStart"/>
      <w:r w:rsidRPr="0036474D">
        <w:t>subbasin</w:t>
      </w:r>
      <w:proofErr w:type="spellEnd"/>
    </w:p>
    <w:p w14:paraId="1D4C2950" w14:textId="77777777" w:rsidR="00AD4D96" w:rsidRPr="0036474D" w:rsidRDefault="00AD4D96" w:rsidP="0036474D">
      <w:pPr>
        <w:pStyle w:val="ListParagraph"/>
        <w:numPr>
          <w:ilvl w:val="0"/>
          <w:numId w:val="26"/>
        </w:numPr>
        <w:contextualSpacing w:val="0"/>
      </w:pPr>
      <w:r w:rsidRPr="0036474D">
        <w:t>3 larger watershed/drainage considerations include Hood Canal, Puget Sound, South Puget Sound</w:t>
      </w:r>
    </w:p>
    <w:p w14:paraId="0DD9AF2B" w14:textId="4A7DC5D8" w:rsidR="00AD4D96" w:rsidRPr="0036474D" w:rsidRDefault="00AD4D96" w:rsidP="0036474D">
      <w:pPr>
        <w:pStyle w:val="ListParagraph"/>
        <w:numPr>
          <w:ilvl w:val="0"/>
          <w:numId w:val="26"/>
        </w:numPr>
        <w:contextualSpacing w:val="0"/>
      </w:pPr>
      <w:r w:rsidRPr="0036474D">
        <w:t>Gig Harbor – group</w:t>
      </w:r>
      <w:r w:rsidR="00294A6C">
        <w:t xml:space="preserve"> two</w:t>
      </w:r>
      <w:r w:rsidRPr="0036474D">
        <w:t xml:space="preserve"> </w:t>
      </w:r>
      <w:r w:rsidR="00294A6C">
        <w:t xml:space="preserve">HUC 12s into one </w:t>
      </w:r>
      <w:proofErr w:type="spellStart"/>
      <w:r w:rsidR="00294A6C">
        <w:t>subbasin</w:t>
      </w:r>
      <w:proofErr w:type="spellEnd"/>
      <w:r w:rsidR="00321995" w:rsidRPr="0036474D">
        <w:t xml:space="preserve"> (USGS)</w:t>
      </w:r>
      <w:r w:rsidR="0036474D">
        <w:rPr>
          <w:rStyle w:val="FootnoteReference"/>
        </w:rPr>
        <w:footnoteReference w:id="2"/>
      </w:r>
    </w:p>
    <w:p w14:paraId="7321C013" w14:textId="09694327" w:rsidR="00AD4D96" w:rsidRPr="0036474D" w:rsidRDefault="00AD4D96" w:rsidP="0036474D">
      <w:pPr>
        <w:pStyle w:val="ListParagraph"/>
        <w:numPr>
          <w:ilvl w:val="0"/>
          <w:numId w:val="26"/>
        </w:numPr>
        <w:contextualSpacing w:val="0"/>
      </w:pPr>
      <w:r w:rsidRPr="0036474D">
        <w:t xml:space="preserve">Key Peninsula – </w:t>
      </w:r>
      <w:r w:rsidR="00294A6C" w:rsidRPr="0036474D">
        <w:t>group</w:t>
      </w:r>
      <w:r w:rsidR="00294A6C">
        <w:t xml:space="preserve"> two</w:t>
      </w:r>
      <w:r w:rsidR="00294A6C" w:rsidRPr="0036474D">
        <w:t xml:space="preserve"> </w:t>
      </w:r>
      <w:r w:rsidR="00294A6C">
        <w:t xml:space="preserve">HUC 12s into one </w:t>
      </w:r>
      <w:proofErr w:type="spellStart"/>
      <w:r w:rsidR="00294A6C">
        <w:t>subbasin</w:t>
      </w:r>
      <w:proofErr w:type="spellEnd"/>
      <w:r w:rsidR="00294A6C" w:rsidRPr="0036474D">
        <w:t xml:space="preserve"> </w:t>
      </w:r>
      <w:r w:rsidR="00321995" w:rsidRPr="0036474D">
        <w:t>(USGS)</w:t>
      </w:r>
    </w:p>
    <w:p w14:paraId="70D28AFA" w14:textId="12BC5CEA" w:rsidR="00AD4D96" w:rsidRDefault="00321995" w:rsidP="0036474D">
      <w:pPr>
        <w:pStyle w:val="ListParagraph"/>
        <w:numPr>
          <w:ilvl w:val="0"/>
          <w:numId w:val="26"/>
        </w:numPr>
        <w:contextualSpacing w:val="0"/>
      </w:pPr>
      <w:r w:rsidRPr="0036474D">
        <w:t>Use a layering approach to</w:t>
      </w:r>
      <w:r w:rsidR="00AD4D96" w:rsidRPr="0036474D">
        <w:t xml:space="preserve"> </w:t>
      </w:r>
      <w:proofErr w:type="spellStart"/>
      <w:r w:rsidR="00AD4D96" w:rsidRPr="0036474D">
        <w:t>subbasins</w:t>
      </w:r>
      <w:proofErr w:type="spellEnd"/>
      <w:r w:rsidRPr="0036474D">
        <w:t xml:space="preserve">, starting with HUC 10 and going out to HUC 12 if there aren’t priority projects within smaller </w:t>
      </w:r>
      <w:proofErr w:type="spellStart"/>
      <w:r w:rsidRPr="0036474D">
        <w:t>subbasin</w:t>
      </w:r>
      <w:proofErr w:type="spellEnd"/>
      <w:r w:rsidRPr="0036474D">
        <w:t>.</w:t>
      </w:r>
      <w:r w:rsidR="00AD4D96" w:rsidRPr="0036474D">
        <w:t xml:space="preserve"> </w:t>
      </w:r>
    </w:p>
    <w:p w14:paraId="5F453A5F" w14:textId="0669A679" w:rsidR="0036474D" w:rsidRPr="0036474D" w:rsidRDefault="0036474D" w:rsidP="0036474D">
      <w:r>
        <w:t>The workgroup will provide more explanation of these components (and their reasoning) at the May 2</w:t>
      </w:r>
      <w:r w:rsidRPr="0036474D">
        <w:rPr>
          <w:vertAlign w:val="superscript"/>
        </w:rPr>
        <w:t>nd</w:t>
      </w:r>
      <w:r>
        <w:t xml:space="preserve"> committee meeting.</w:t>
      </w:r>
    </w:p>
    <w:p w14:paraId="331ECC03" w14:textId="0981105B" w:rsidR="00B63D0A" w:rsidRDefault="00B63D0A" w:rsidP="00B63D0A">
      <w:pPr>
        <w:pStyle w:val="Heading1"/>
        <w:rPr>
          <w:sz w:val="24"/>
        </w:rPr>
      </w:pPr>
      <w:r w:rsidRPr="00B63D0A">
        <w:rPr>
          <w:sz w:val="24"/>
        </w:rPr>
        <w:t xml:space="preserve">Questions for </w:t>
      </w:r>
      <w:r w:rsidR="00625CB8">
        <w:rPr>
          <w:sz w:val="24"/>
        </w:rPr>
        <w:t xml:space="preserve">Committee and </w:t>
      </w:r>
      <w:r w:rsidR="005E44AF">
        <w:rPr>
          <w:sz w:val="24"/>
        </w:rPr>
        <w:t>Work</w:t>
      </w:r>
      <w:r w:rsidR="00625CB8">
        <w:rPr>
          <w:sz w:val="24"/>
        </w:rPr>
        <w:t>g</w:t>
      </w:r>
      <w:r w:rsidR="005E44AF">
        <w:rPr>
          <w:sz w:val="24"/>
        </w:rPr>
        <w:t>roup Discussion</w:t>
      </w:r>
    </w:p>
    <w:p w14:paraId="1FCAF4A8" w14:textId="3846092E" w:rsidR="005E44AF" w:rsidRDefault="00AD4D96" w:rsidP="005E44AF">
      <w:pPr>
        <w:pStyle w:val="Bullet"/>
      </w:pPr>
      <w:r>
        <w:t xml:space="preserve">Are there additional considerations, or revisions to those posed by the workgroup, that </w:t>
      </w:r>
      <w:r w:rsidR="005E44AF">
        <w:t xml:space="preserve">you think are most important to WRIA 15 </w:t>
      </w:r>
      <w:proofErr w:type="spellStart"/>
      <w:r w:rsidR="005E44AF">
        <w:t>subbasin</w:t>
      </w:r>
      <w:proofErr w:type="spellEnd"/>
      <w:r w:rsidR="005E44AF">
        <w:t xml:space="preserve"> delineations?</w:t>
      </w:r>
    </w:p>
    <w:p w14:paraId="62CF3616" w14:textId="7B5734AF" w:rsidR="005E44AF" w:rsidRPr="0036474D" w:rsidRDefault="005E44AF" w:rsidP="005E44AF">
      <w:pPr>
        <w:pStyle w:val="Bullet"/>
      </w:pPr>
      <w:r w:rsidRPr="0036474D">
        <w:t xml:space="preserve">What </w:t>
      </w:r>
      <w:r w:rsidR="00321995" w:rsidRPr="0036474D">
        <w:t>initial feedback do you have on</w:t>
      </w:r>
      <w:r w:rsidRPr="0036474D">
        <w:t xml:space="preserve"> sub-basin</w:t>
      </w:r>
      <w:r w:rsidR="00321995" w:rsidRPr="0036474D">
        <w:t xml:space="preserve"> </w:t>
      </w:r>
      <w:r w:rsidR="0036474D" w:rsidRPr="0036474D">
        <w:t>components</w:t>
      </w:r>
      <w:r w:rsidR="00321995" w:rsidRPr="0036474D">
        <w:t xml:space="preserve"> proposed by </w:t>
      </w:r>
      <w:r w:rsidR="0036474D" w:rsidRPr="0036474D">
        <w:t xml:space="preserve">workgroup </w:t>
      </w:r>
      <w:r w:rsidR="00321995" w:rsidRPr="0036474D">
        <w:t>member</w:t>
      </w:r>
      <w:r w:rsidRPr="0036474D">
        <w:t>s? What are the pros and cons of these options?</w:t>
      </w:r>
    </w:p>
    <w:p w14:paraId="481888DA" w14:textId="6663A72F" w:rsidR="005E44AF" w:rsidRDefault="005E44AF" w:rsidP="005E44AF">
      <w:pPr>
        <w:pStyle w:val="Bullet"/>
      </w:pPr>
      <w:r>
        <w:t xml:space="preserve">What questions or guidance do you have </w:t>
      </w:r>
      <w:r w:rsidR="00F2286E">
        <w:t>for technical staff/</w:t>
      </w:r>
      <w:r>
        <w:t>consultants for refining the sub-basin boundaries and bringing a recommendation back the committee?</w:t>
      </w:r>
    </w:p>
    <w:p w14:paraId="1B32F0BB" w14:textId="733EA6CA" w:rsidR="00B63D0A" w:rsidRPr="005E44AF" w:rsidRDefault="00B63D0A" w:rsidP="005E44AF">
      <w:pPr>
        <w:rPr>
          <w:highlight w:val="yellow"/>
        </w:rPr>
      </w:pPr>
      <w:r w:rsidRPr="005E44AF">
        <w:rPr>
          <w:highlight w:val="yellow"/>
        </w:rPr>
        <w:t xml:space="preserve"> </w:t>
      </w:r>
    </w:p>
    <w:sectPr w:rsidR="00B63D0A" w:rsidRPr="005E44AF" w:rsidSect="00426D7F">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98732D" w16cid:durableId="207168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22CFA" w14:textId="77777777" w:rsidR="007F03F7" w:rsidRDefault="007F03F7" w:rsidP="00E34A0C">
      <w:r>
        <w:separator/>
      </w:r>
    </w:p>
  </w:endnote>
  <w:endnote w:type="continuationSeparator" w:id="0">
    <w:p w14:paraId="38D56E13" w14:textId="77777777" w:rsidR="007F03F7" w:rsidRDefault="007F03F7" w:rsidP="00E34A0C">
      <w:r>
        <w:continuationSeparator/>
      </w:r>
    </w:p>
  </w:endnote>
  <w:endnote w:type="continuationNotice" w:id="1">
    <w:p w14:paraId="0474BC58" w14:textId="77777777" w:rsidR="007F03F7" w:rsidRDefault="007F0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3401F" w14:textId="77777777" w:rsidR="007F03F7" w:rsidRDefault="007F03F7" w:rsidP="00E34A0C">
      <w:r>
        <w:separator/>
      </w:r>
    </w:p>
  </w:footnote>
  <w:footnote w:type="continuationSeparator" w:id="0">
    <w:p w14:paraId="41DE743E" w14:textId="77777777" w:rsidR="007F03F7" w:rsidRDefault="007F03F7" w:rsidP="00E34A0C">
      <w:r>
        <w:continuationSeparator/>
      </w:r>
    </w:p>
  </w:footnote>
  <w:footnote w:type="continuationNotice" w:id="1">
    <w:p w14:paraId="38FEFE26" w14:textId="77777777" w:rsidR="007F03F7" w:rsidRDefault="007F03F7"/>
  </w:footnote>
  <w:footnote w:id="2">
    <w:p w14:paraId="185EF6D6" w14:textId="6C18E955" w:rsidR="0036474D" w:rsidRPr="00706ECD" w:rsidRDefault="0036474D" w:rsidP="0036474D">
      <w:pPr>
        <w:rPr>
          <w:sz w:val="20"/>
        </w:rPr>
      </w:pPr>
      <w:r>
        <w:rPr>
          <w:rStyle w:val="FootnoteReference"/>
        </w:rPr>
        <w:footnoteRef/>
      </w:r>
      <w:r>
        <w:t xml:space="preserve"> HUCs:  </w:t>
      </w:r>
      <w:r w:rsidRPr="00706ECD">
        <w:rPr>
          <w:sz w:val="20"/>
        </w:rPr>
        <w:t>The United States is divided and sub-divided into successively smaller hydrologic units which are classified into four levels: regions, sub-regions, accounting units, and cataloging units. The hydrologic units are arranged or nested within each other, from the largest geographic area (regions) to the smallest geographic area (cataloging units). Each hydrologic unit is identified by a unique hydrologic unit code (HUC) consisting of two to eight digits based on the four levels of classification in the hydrologic unit system.</w:t>
      </w:r>
    </w:p>
    <w:p w14:paraId="0E304071" w14:textId="77777777" w:rsidR="0036474D" w:rsidRDefault="0036474D" w:rsidP="0036474D">
      <w:pPr>
        <w:rPr>
          <w:sz w:val="20"/>
        </w:rPr>
      </w:pPr>
      <w:r w:rsidRPr="0036474D">
        <w:rPr>
          <w:sz w:val="20"/>
        </w:rPr>
        <w:t xml:space="preserve">The first level of classification divides the Nation into 21 major geographic areas, or regions. These geographic areas contain either the drainage area of a major river, such as the Missouri region, or the combined drainage areas of a series of rivers, such as the Texas-Gulf region, which includes a number of rivers draining into the Gulf of Mexico. </w:t>
      </w:r>
    </w:p>
    <w:p w14:paraId="6C24FA93" w14:textId="77777777" w:rsidR="0036474D" w:rsidRPr="0036474D" w:rsidRDefault="0036474D" w:rsidP="0036474D">
      <w:pPr>
        <w:ind w:firstLine="720"/>
        <w:rPr>
          <w:sz w:val="20"/>
        </w:rPr>
      </w:pPr>
      <w:r w:rsidRPr="0036474D">
        <w:rPr>
          <w:sz w:val="20"/>
        </w:rPr>
        <w:t xml:space="preserve">The second level of classification divides the 21 regions into 221 </w:t>
      </w:r>
      <w:proofErr w:type="spellStart"/>
      <w:r w:rsidRPr="0036474D">
        <w:rPr>
          <w:sz w:val="20"/>
        </w:rPr>
        <w:t>subregions</w:t>
      </w:r>
      <w:proofErr w:type="spellEnd"/>
      <w:r w:rsidRPr="0036474D">
        <w:rPr>
          <w:sz w:val="20"/>
        </w:rPr>
        <w:t xml:space="preserve">. A </w:t>
      </w:r>
      <w:proofErr w:type="spellStart"/>
      <w:r w:rsidRPr="0036474D">
        <w:rPr>
          <w:sz w:val="20"/>
        </w:rPr>
        <w:t>subregion</w:t>
      </w:r>
      <w:proofErr w:type="spellEnd"/>
      <w:r w:rsidRPr="0036474D">
        <w:rPr>
          <w:sz w:val="20"/>
        </w:rPr>
        <w:t xml:space="preserve"> includes the area drained by a river system, a reach of a river and its tributaries in that reach, a closed basin(s), or a group of streams forming a coastal drainage area.</w:t>
      </w:r>
    </w:p>
    <w:p w14:paraId="61ADDD33" w14:textId="4F82AFA0" w:rsidR="0036474D" w:rsidRPr="0036474D" w:rsidRDefault="0036474D" w:rsidP="0036474D">
      <w:pPr>
        <w:ind w:firstLine="720"/>
        <w:rPr>
          <w:sz w:val="20"/>
        </w:rPr>
      </w:pPr>
      <w:r w:rsidRPr="0036474D">
        <w:rPr>
          <w:sz w:val="20"/>
        </w:rPr>
        <w:t xml:space="preserve">The third level of classification subdivides many of the </w:t>
      </w:r>
      <w:proofErr w:type="spellStart"/>
      <w:r w:rsidRPr="0036474D">
        <w:rPr>
          <w:sz w:val="20"/>
        </w:rPr>
        <w:t>subregions</w:t>
      </w:r>
      <w:proofErr w:type="spellEnd"/>
      <w:r w:rsidRPr="0036474D">
        <w:rPr>
          <w:sz w:val="20"/>
        </w:rPr>
        <w:t xml:space="preserve"> into accounting units. These 378 hydrologic accounting units are nested within or can be equivalent to the </w:t>
      </w:r>
      <w:proofErr w:type="spellStart"/>
      <w:r w:rsidRPr="0036474D">
        <w:rPr>
          <w:sz w:val="20"/>
        </w:rPr>
        <w:t>subregions</w:t>
      </w:r>
      <w:proofErr w:type="spellEnd"/>
      <w:r w:rsidRPr="0036474D">
        <w:rPr>
          <w:sz w:val="20"/>
        </w:rPr>
        <w:t>.</w:t>
      </w:r>
    </w:p>
    <w:p w14:paraId="660BDAD9" w14:textId="77777777" w:rsidR="0036474D" w:rsidRPr="0036474D" w:rsidRDefault="0036474D" w:rsidP="0036474D">
      <w:pPr>
        <w:ind w:firstLine="720"/>
        <w:rPr>
          <w:sz w:val="20"/>
        </w:rPr>
      </w:pPr>
      <w:r w:rsidRPr="0036474D">
        <w:rPr>
          <w:sz w:val="20"/>
        </w:rPr>
        <w:t xml:space="preserve">The fourth level of classification is the cataloging unit, the smallest element in the hierarchy of hydrologic units. A cataloging unit is a geographic area representing part of all of a surface drainage basin, a combination of drainage basins, or a distinct hydrologic feature. These units subdivide the </w:t>
      </w:r>
      <w:proofErr w:type="spellStart"/>
      <w:r w:rsidRPr="0036474D">
        <w:rPr>
          <w:sz w:val="20"/>
        </w:rPr>
        <w:t>subregions</w:t>
      </w:r>
      <w:proofErr w:type="spellEnd"/>
      <w:r w:rsidRPr="0036474D">
        <w:rPr>
          <w:sz w:val="20"/>
        </w:rPr>
        <w:t xml:space="preserve"> and accounting units into smaller areas. There are 2264 Cataloging Units in the Nation. </w:t>
      </w:r>
      <w:r w:rsidRPr="0036474D">
        <w:rPr>
          <w:b/>
          <w:i/>
          <w:sz w:val="20"/>
        </w:rPr>
        <w:t>Cataloging Units sometimes are called "watersheds"</w:t>
      </w:r>
      <w:r w:rsidRPr="0036474D">
        <w:rPr>
          <w:sz w:val="20"/>
        </w:rPr>
        <w:t>.</w:t>
      </w:r>
      <w:r>
        <w:rPr>
          <w:sz w:val="20"/>
        </w:rPr>
        <w:t xml:space="preserve">  </w:t>
      </w:r>
      <w:r w:rsidRPr="0036474D">
        <w:rPr>
          <w:b/>
          <w:sz w:val="20"/>
          <w:u w:val="single"/>
        </w:rPr>
        <w:t>THIS IS THE CLASSIFICATION WE ARE REFERRING TO IN OUR PROCESS.</w:t>
      </w:r>
    </w:p>
    <w:p w14:paraId="54D5C728" w14:textId="26CD596B" w:rsidR="0036474D" w:rsidRDefault="003647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6088C"/>
    <w:multiLevelType w:val="hybridMultilevel"/>
    <w:tmpl w:val="7C903880"/>
    <w:lvl w:ilvl="0" w:tplc="4D8C79F4">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87B4A"/>
    <w:multiLevelType w:val="hybridMultilevel"/>
    <w:tmpl w:val="BC1E7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A12DE9"/>
    <w:multiLevelType w:val="hybridMultilevel"/>
    <w:tmpl w:val="10D0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7157D7"/>
    <w:multiLevelType w:val="hybridMultilevel"/>
    <w:tmpl w:val="EB4A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155EE"/>
    <w:multiLevelType w:val="hybridMultilevel"/>
    <w:tmpl w:val="995ABF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1"/>
  </w:num>
  <w:num w:numId="3">
    <w:abstractNumId w:val="19"/>
  </w:num>
  <w:num w:numId="4">
    <w:abstractNumId w:val="17"/>
  </w:num>
  <w:num w:numId="5">
    <w:abstractNumId w:val="13"/>
  </w:num>
  <w:num w:numId="6">
    <w:abstractNumId w:val="5"/>
  </w:num>
  <w:num w:numId="7">
    <w:abstractNumId w:val="1"/>
  </w:num>
  <w:num w:numId="8">
    <w:abstractNumId w:val="12"/>
  </w:num>
  <w:num w:numId="9">
    <w:abstractNumId w:val="2"/>
  </w:num>
  <w:num w:numId="10">
    <w:abstractNumId w:val="16"/>
  </w:num>
  <w:num w:numId="11">
    <w:abstractNumId w:val="7"/>
  </w:num>
  <w:num w:numId="12">
    <w:abstractNumId w:val="15"/>
  </w:num>
  <w:num w:numId="13">
    <w:abstractNumId w:val="10"/>
  </w:num>
  <w:num w:numId="14">
    <w:abstractNumId w:val="18"/>
  </w:num>
  <w:num w:numId="15">
    <w:abstractNumId w:val="0"/>
  </w:num>
  <w:num w:numId="16">
    <w:abstractNumId w:val="7"/>
  </w:num>
  <w:num w:numId="17">
    <w:abstractNumId w:val="6"/>
  </w:num>
  <w:num w:numId="18">
    <w:abstractNumId w:val="9"/>
  </w:num>
  <w:num w:numId="19">
    <w:abstractNumId w:val="22"/>
  </w:num>
  <w:num w:numId="20">
    <w:abstractNumId w:val="3"/>
  </w:num>
  <w:num w:numId="21">
    <w:abstractNumId w:val="24"/>
  </w:num>
  <w:num w:numId="22">
    <w:abstractNumId w:val="21"/>
  </w:num>
  <w:num w:numId="23">
    <w:abstractNumId w:val="20"/>
  </w:num>
  <w:num w:numId="24">
    <w:abstractNumId w:val="23"/>
  </w:num>
  <w:num w:numId="25">
    <w:abstractNumId w:val="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26512"/>
    <w:rsid w:val="00042625"/>
    <w:rsid w:val="00060A54"/>
    <w:rsid w:val="000952E5"/>
    <w:rsid w:val="000968CE"/>
    <w:rsid w:val="000A39F4"/>
    <w:rsid w:val="000A732B"/>
    <w:rsid w:val="000B45E1"/>
    <w:rsid w:val="000B53FB"/>
    <w:rsid w:val="000B65AA"/>
    <w:rsid w:val="000E6F73"/>
    <w:rsid w:val="000F260A"/>
    <w:rsid w:val="000F3546"/>
    <w:rsid w:val="000F6243"/>
    <w:rsid w:val="001010F9"/>
    <w:rsid w:val="00150AFC"/>
    <w:rsid w:val="00153087"/>
    <w:rsid w:val="00180809"/>
    <w:rsid w:val="0019587F"/>
    <w:rsid w:val="00197234"/>
    <w:rsid w:val="001B10D0"/>
    <w:rsid w:val="001D2044"/>
    <w:rsid w:val="001F749F"/>
    <w:rsid w:val="001F7A77"/>
    <w:rsid w:val="0020598D"/>
    <w:rsid w:val="00206C04"/>
    <w:rsid w:val="00213CEC"/>
    <w:rsid w:val="00246EA3"/>
    <w:rsid w:val="002640CD"/>
    <w:rsid w:val="00277B80"/>
    <w:rsid w:val="002944DD"/>
    <w:rsid w:val="00294A6C"/>
    <w:rsid w:val="002A7A04"/>
    <w:rsid w:val="002B161B"/>
    <w:rsid w:val="002C6AFE"/>
    <w:rsid w:val="002D0921"/>
    <w:rsid w:val="002D5210"/>
    <w:rsid w:val="002E1A38"/>
    <w:rsid w:val="00300A18"/>
    <w:rsid w:val="00305A68"/>
    <w:rsid w:val="00312A3A"/>
    <w:rsid w:val="00321995"/>
    <w:rsid w:val="00340641"/>
    <w:rsid w:val="00341613"/>
    <w:rsid w:val="0035471F"/>
    <w:rsid w:val="0036474D"/>
    <w:rsid w:val="00373420"/>
    <w:rsid w:val="0037551A"/>
    <w:rsid w:val="00375B5A"/>
    <w:rsid w:val="0037784B"/>
    <w:rsid w:val="003B49C6"/>
    <w:rsid w:val="003F397F"/>
    <w:rsid w:val="003F5943"/>
    <w:rsid w:val="00411752"/>
    <w:rsid w:val="00424857"/>
    <w:rsid w:val="004255C0"/>
    <w:rsid w:val="00426D7F"/>
    <w:rsid w:val="004315F6"/>
    <w:rsid w:val="0044453B"/>
    <w:rsid w:val="00455ECE"/>
    <w:rsid w:val="0046467E"/>
    <w:rsid w:val="00467142"/>
    <w:rsid w:val="00484EB7"/>
    <w:rsid w:val="004B2085"/>
    <w:rsid w:val="004B5763"/>
    <w:rsid w:val="004D0C95"/>
    <w:rsid w:val="004D347F"/>
    <w:rsid w:val="004E0684"/>
    <w:rsid w:val="004F0620"/>
    <w:rsid w:val="004F6617"/>
    <w:rsid w:val="00501ED0"/>
    <w:rsid w:val="00513B7D"/>
    <w:rsid w:val="00516813"/>
    <w:rsid w:val="00526F3D"/>
    <w:rsid w:val="00555A4A"/>
    <w:rsid w:val="00562836"/>
    <w:rsid w:val="00562D2E"/>
    <w:rsid w:val="00570AE3"/>
    <w:rsid w:val="00570B92"/>
    <w:rsid w:val="00571892"/>
    <w:rsid w:val="00581605"/>
    <w:rsid w:val="00593226"/>
    <w:rsid w:val="005A5F11"/>
    <w:rsid w:val="005A6B16"/>
    <w:rsid w:val="005C2461"/>
    <w:rsid w:val="005D081E"/>
    <w:rsid w:val="005D31CD"/>
    <w:rsid w:val="005D7636"/>
    <w:rsid w:val="005E2D2C"/>
    <w:rsid w:val="005E44AF"/>
    <w:rsid w:val="0060235B"/>
    <w:rsid w:val="00610A24"/>
    <w:rsid w:val="00613630"/>
    <w:rsid w:val="00614913"/>
    <w:rsid w:val="00621047"/>
    <w:rsid w:val="00625CB8"/>
    <w:rsid w:val="00652801"/>
    <w:rsid w:val="006551C3"/>
    <w:rsid w:val="0065722A"/>
    <w:rsid w:val="006628DD"/>
    <w:rsid w:val="00693725"/>
    <w:rsid w:val="00693E60"/>
    <w:rsid w:val="006B180C"/>
    <w:rsid w:val="006B2C2C"/>
    <w:rsid w:val="006C1ABA"/>
    <w:rsid w:val="006C320A"/>
    <w:rsid w:val="006C7C54"/>
    <w:rsid w:val="006E43C3"/>
    <w:rsid w:val="006E5504"/>
    <w:rsid w:val="006F08A4"/>
    <w:rsid w:val="006F760C"/>
    <w:rsid w:val="00706ECD"/>
    <w:rsid w:val="00711239"/>
    <w:rsid w:val="00712169"/>
    <w:rsid w:val="00720918"/>
    <w:rsid w:val="00724DFD"/>
    <w:rsid w:val="00742EC1"/>
    <w:rsid w:val="00750804"/>
    <w:rsid w:val="00764E63"/>
    <w:rsid w:val="007817D6"/>
    <w:rsid w:val="0078541A"/>
    <w:rsid w:val="00790551"/>
    <w:rsid w:val="007A36EA"/>
    <w:rsid w:val="007A3C14"/>
    <w:rsid w:val="007B0BF6"/>
    <w:rsid w:val="007F03F7"/>
    <w:rsid w:val="007F238E"/>
    <w:rsid w:val="007F6DB7"/>
    <w:rsid w:val="007F6F1B"/>
    <w:rsid w:val="00805AD4"/>
    <w:rsid w:val="00807515"/>
    <w:rsid w:val="00832696"/>
    <w:rsid w:val="008340D8"/>
    <w:rsid w:val="00865A37"/>
    <w:rsid w:val="00871F5D"/>
    <w:rsid w:val="00873678"/>
    <w:rsid w:val="0087614C"/>
    <w:rsid w:val="0089148D"/>
    <w:rsid w:val="008A6CF1"/>
    <w:rsid w:val="008C3102"/>
    <w:rsid w:val="008E4582"/>
    <w:rsid w:val="008F27D1"/>
    <w:rsid w:val="008F6C88"/>
    <w:rsid w:val="00906567"/>
    <w:rsid w:val="00906C7D"/>
    <w:rsid w:val="00912A9B"/>
    <w:rsid w:val="00917A64"/>
    <w:rsid w:val="00947AEE"/>
    <w:rsid w:val="00960F9A"/>
    <w:rsid w:val="00962250"/>
    <w:rsid w:val="009641A2"/>
    <w:rsid w:val="0097058B"/>
    <w:rsid w:val="00973884"/>
    <w:rsid w:val="0097711C"/>
    <w:rsid w:val="009D1FF3"/>
    <w:rsid w:val="009D26F5"/>
    <w:rsid w:val="009E4424"/>
    <w:rsid w:val="009E6FC1"/>
    <w:rsid w:val="009F2A73"/>
    <w:rsid w:val="00A12565"/>
    <w:rsid w:val="00A4747D"/>
    <w:rsid w:val="00AA432F"/>
    <w:rsid w:val="00AC2167"/>
    <w:rsid w:val="00AC732C"/>
    <w:rsid w:val="00AD1996"/>
    <w:rsid w:val="00AD4D96"/>
    <w:rsid w:val="00AE0CF2"/>
    <w:rsid w:val="00AE4960"/>
    <w:rsid w:val="00B1237D"/>
    <w:rsid w:val="00B15513"/>
    <w:rsid w:val="00B24C97"/>
    <w:rsid w:val="00B26C38"/>
    <w:rsid w:val="00B40ACF"/>
    <w:rsid w:val="00B57ACF"/>
    <w:rsid w:val="00B63D0A"/>
    <w:rsid w:val="00BA44B5"/>
    <w:rsid w:val="00BA4B4F"/>
    <w:rsid w:val="00BA7E30"/>
    <w:rsid w:val="00BB04DF"/>
    <w:rsid w:val="00BD565D"/>
    <w:rsid w:val="00BD631F"/>
    <w:rsid w:val="00BE2638"/>
    <w:rsid w:val="00C116A5"/>
    <w:rsid w:val="00C15B46"/>
    <w:rsid w:val="00C327D3"/>
    <w:rsid w:val="00C513BF"/>
    <w:rsid w:val="00C515BE"/>
    <w:rsid w:val="00C556F9"/>
    <w:rsid w:val="00C71136"/>
    <w:rsid w:val="00CA03E7"/>
    <w:rsid w:val="00CB4D82"/>
    <w:rsid w:val="00CC2ED1"/>
    <w:rsid w:val="00CD2E69"/>
    <w:rsid w:val="00CD4B50"/>
    <w:rsid w:val="00CF3536"/>
    <w:rsid w:val="00D0681A"/>
    <w:rsid w:val="00D07BE0"/>
    <w:rsid w:val="00D30684"/>
    <w:rsid w:val="00D334F9"/>
    <w:rsid w:val="00D376B3"/>
    <w:rsid w:val="00D4168A"/>
    <w:rsid w:val="00D47C6B"/>
    <w:rsid w:val="00D761B7"/>
    <w:rsid w:val="00D94234"/>
    <w:rsid w:val="00DC1F04"/>
    <w:rsid w:val="00DD2E69"/>
    <w:rsid w:val="00DF5EFF"/>
    <w:rsid w:val="00E11CB6"/>
    <w:rsid w:val="00E34A0C"/>
    <w:rsid w:val="00E72DD3"/>
    <w:rsid w:val="00E97899"/>
    <w:rsid w:val="00EA70BA"/>
    <w:rsid w:val="00EB17FE"/>
    <w:rsid w:val="00EB1CF1"/>
    <w:rsid w:val="00EB75A3"/>
    <w:rsid w:val="00EC12ED"/>
    <w:rsid w:val="00ED5C2A"/>
    <w:rsid w:val="00EF1BEB"/>
    <w:rsid w:val="00EF400A"/>
    <w:rsid w:val="00F05745"/>
    <w:rsid w:val="00F2286E"/>
    <w:rsid w:val="00F52C59"/>
    <w:rsid w:val="00F6234F"/>
    <w:rsid w:val="00F7266A"/>
    <w:rsid w:val="00F74E2A"/>
    <w:rsid w:val="00F8128A"/>
    <w:rsid w:val="00F91E44"/>
    <w:rsid w:val="00FA3390"/>
    <w:rsid w:val="00FB03D6"/>
    <w:rsid w:val="00FB469F"/>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C71136"/>
    <w:rPr>
      <w:sz w:val="16"/>
      <w:szCs w:val="16"/>
    </w:rPr>
  </w:style>
  <w:style w:type="paragraph" w:styleId="CommentText">
    <w:name w:val="annotation text"/>
    <w:basedOn w:val="Normal"/>
    <w:link w:val="CommentTextChar"/>
    <w:uiPriority w:val="99"/>
    <w:semiHidden/>
    <w:unhideWhenUsed/>
    <w:rsid w:val="00C71136"/>
    <w:rPr>
      <w:sz w:val="20"/>
      <w:szCs w:val="20"/>
    </w:rPr>
  </w:style>
  <w:style w:type="character" w:customStyle="1" w:styleId="CommentTextChar">
    <w:name w:val="Comment Text Char"/>
    <w:basedOn w:val="DefaultParagraphFont"/>
    <w:link w:val="CommentText"/>
    <w:uiPriority w:val="99"/>
    <w:semiHidden/>
    <w:rsid w:val="00C7113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1136"/>
    <w:rPr>
      <w:b/>
      <w:bCs/>
    </w:rPr>
  </w:style>
  <w:style w:type="character" w:customStyle="1" w:styleId="CommentSubjectChar">
    <w:name w:val="Comment Subject Char"/>
    <w:basedOn w:val="CommentTextChar"/>
    <w:link w:val="CommentSubject"/>
    <w:uiPriority w:val="99"/>
    <w:semiHidden/>
    <w:rsid w:val="00C71136"/>
    <w:rPr>
      <w:rFonts w:ascii="Calibri" w:hAnsi="Calibri" w:cs="Times New Roman"/>
      <w:b/>
      <w:bCs/>
      <w:sz w:val="20"/>
      <w:szCs w:val="20"/>
    </w:rPr>
  </w:style>
  <w:style w:type="paragraph" w:customStyle="1" w:styleId="Bullet">
    <w:name w:val="Bullet"/>
    <w:basedOn w:val="Normal"/>
    <w:link w:val="BulletChar"/>
    <w:qFormat/>
    <w:rsid w:val="00712169"/>
    <w:pPr>
      <w:numPr>
        <w:numId w:val="25"/>
      </w:numPr>
      <w:spacing w:after="160" w:line="276" w:lineRule="auto"/>
      <w:contextualSpacing/>
    </w:pPr>
    <w:rPr>
      <w:rFonts w:asciiTheme="minorHAnsi" w:hAnsiTheme="minorHAnsi" w:cstheme="minorBidi"/>
    </w:rPr>
  </w:style>
  <w:style w:type="character" w:customStyle="1" w:styleId="BulletChar">
    <w:name w:val="Bullet Char"/>
    <w:basedOn w:val="DefaultParagraphFont"/>
    <w:link w:val="Bullet"/>
    <w:rsid w:val="00712169"/>
  </w:style>
  <w:style w:type="paragraph" w:styleId="FootnoteText">
    <w:name w:val="footnote text"/>
    <w:basedOn w:val="Normal"/>
    <w:link w:val="FootnoteTextChar"/>
    <w:uiPriority w:val="99"/>
    <w:semiHidden/>
    <w:unhideWhenUsed/>
    <w:rsid w:val="00706ECD"/>
    <w:rPr>
      <w:sz w:val="20"/>
      <w:szCs w:val="20"/>
    </w:rPr>
  </w:style>
  <w:style w:type="character" w:customStyle="1" w:styleId="FootnoteTextChar">
    <w:name w:val="Footnote Text Char"/>
    <w:basedOn w:val="DefaultParagraphFont"/>
    <w:link w:val="FootnoteText"/>
    <w:uiPriority w:val="99"/>
    <w:semiHidden/>
    <w:rsid w:val="00706ECD"/>
    <w:rPr>
      <w:rFonts w:ascii="Calibri" w:hAnsi="Calibri" w:cs="Times New Roman"/>
      <w:sz w:val="20"/>
      <w:szCs w:val="20"/>
    </w:rPr>
  </w:style>
  <w:style w:type="character" w:styleId="FootnoteReference">
    <w:name w:val="footnote reference"/>
    <w:basedOn w:val="DefaultParagraphFont"/>
    <w:uiPriority w:val="99"/>
    <w:semiHidden/>
    <w:unhideWhenUsed/>
    <w:rsid w:val="00706ECD"/>
    <w:rPr>
      <w:vertAlign w:val="superscript"/>
    </w:rPr>
  </w:style>
  <w:style w:type="paragraph" w:styleId="NormalWeb">
    <w:name w:val="Normal (Web)"/>
    <w:basedOn w:val="Normal"/>
    <w:uiPriority w:val="99"/>
    <w:semiHidden/>
    <w:unhideWhenUsed/>
    <w:rsid w:val="00706EC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72302512">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959845723">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ECYflBLVuser\SVYN461$\Documents\Section203WS\WRIA%2015\2019%20Committee%20Meetings\May\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0E080468BFB445ABA5F9455BB3E4A6" ma:contentTypeVersion="1" ma:contentTypeDescription="Create a new document." ma:contentTypeScope="" ma:versionID="d4b62adc9f1f0f046634e507c220a74c">
  <xsd:schema xmlns:xsd="http://www.w3.org/2001/XMLSchema" xmlns:xs="http://www.w3.org/2001/XMLSchema" xmlns:p="http://schemas.microsoft.com/office/2006/metadata/properties" xmlns:ns2="fa9a4940-7a8b-4399-b0b9-597dee2fdc40" targetNamespace="http://schemas.microsoft.com/office/2006/metadata/properties" ma:root="true" ma:fieldsID="3895f71decfc3b28b040ef462d1ccaab" ns2:_="">
    <xsd:import namespace="fa9a4940-7a8b-4399-b0b9-597dee2fdc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2.xml><?xml version="1.0" encoding="utf-8"?>
<ds:datastoreItem xmlns:ds="http://schemas.openxmlformats.org/officeDocument/2006/customXml" ds:itemID="{D69E732E-A86F-458E-A4B0-42D7BF9F57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AC02D6-B149-48C3-8414-EFDEC8312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9929F-2F3A-4DB0-883D-3767359B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March agenda</dc:subject>
  <dc:creator>Barb Macgregor</dc:creator>
  <cp:keywords/>
  <dc:description/>
  <cp:lastModifiedBy>Medcalf, RiAnne (ECY)</cp:lastModifiedBy>
  <cp:revision>2</cp:revision>
  <cp:lastPrinted>2018-08-22T19:01:00Z</cp:lastPrinted>
  <dcterms:created xsi:type="dcterms:W3CDTF">2019-05-06T16:50:00Z</dcterms:created>
  <dcterms:modified xsi:type="dcterms:W3CDTF">2019-05-06T16:50:00Z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0x010100250E080468BFB445ABA5F9455BB3E4A6</vt:lpwstr>
  </property>
</Properties>
</file>