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A5B6" w14:textId="77777777" w:rsidR="00312A3A" w:rsidRPr="00B40ACF" w:rsidRDefault="00312A3A" w:rsidP="00312A3A">
      <w:pPr>
        <w:pStyle w:val="Titlestyle"/>
        <w:rPr>
          <w:sz w:val="36"/>
          <w:szCs w:val="28"/>
        </w:rPr>
      </w:pPr>
      <w:r w:rsidRPr="00042625">
        <w:rPr>
          <w:noProof/>
          <w:color w:val="FF0000"/>
          <w:sz w:val="36"/>
          <w:szCs w:val="28"/>
        </w:rPr>
        <w:drawing>
          <wp:anchor distT="0" distB="0" distL="114300" distR="114300" simplePos="0" relativeHeight="251658240" behindDoc="0" locked="0" layoutInCell="1" allowOverlap="1" wp14:anchorId="32CA64E7" wp14:editId="6FB67AE7">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Pr="00B40ACF">
        <w:rPr>
          <w:sz w:val="36"/>
          <w:szCs w:val="28"/>
        </w:rPr>
        <w:t>AGENDA</w:t>
      </w:r>
    </w:p>
    <w:p w14:paraId="77DC2209" w14:textId="69589F86" w:rsidR="00246EA3" w:rsidRPr="009E4424" w:rsidRDefault="00467142" w:rsidP="00246EA3">
      <w:pPr>
        <w:pStyle w:val="Sub-titlestyle"/>
        <w:rPr>
          <w:b/>
          <w:color w:val="44688F"/>
        </w:rPr>
      </w:pPr>
      <w:r>
        <w:rPr>
          <w:b/>
          <w:color w:val="44688F"/>
        </w:rPr>
        <w:t xml:space="preserve">WRIA 15 </w:t>
      </w:r>
      <w:r w:rsidR="00FF7C94" w:rsidRPr="009E4424">
        <w:rPr>
          <w:b/>
          <w:color w:val="44688F"/>
        </w:rPr>
        <w:t>Watershed Restoration and Enhancement</w:t>
      </w:r>
    </w:p>
    <w:p w14:paraId="5312BB30" w14:textId="58E914FC" w:rsidR="00FF7C94" w:rsidRPr="009E4424" w:rsidRDefault="00B1512A" w:rsidP="00246EA3">
      <w:pPr>
        <w:pStyle w:val="Sub-titlestyle"/>
        <w:rPr>
          <w:b/>
          <w:color w:val="44688F"/>
        </w:rPr>
      </w:pPr>
      <w:r>
        <w:rPr>
          <w:b/>
          <w:color w:val="44688F"/>
        </w:rPr>
        <w:t xml:space="preserve">Technical </w:t>
      </w:r>
      <w:r w:rsidR="009D3BA5">
        <w:rPr>
          <w:b/>
          <w:color w:val="44688F"/>
        </w:rPr>
        <w:t>Workgroup</w:t>
      </w:r>
      <w:r w:rsidR="00CC2ED1">
        <w:rPr>
          <w:b/>
          <w:color w:val="44688F"/>
        </w:rPr>
        <w:t xml:space="preserve"> M</w:t>
      </w:r>
      <w:r w:rsidR="00FF7C94" w:rsidRPr="009E4424">
        <w:rPr>
          <w:b/>
          <w:color w:val="44688F"/>
        </w:rPr>
        <w:t>eeting</w:t>
      </w:r>
    </w:p>
    <w:p w14:paraId="27FABF45" w14:textId="225537B1" w:rsidR="009D3BA5" w:rsidRDefault="00B1512A" w:rsidP="009D3BA5">
      <w:pPr>
        <w:pStyle w:val="Sub-titlestyle"/>
        <w:rPr>
          <w:color w:val="44688F"/>
        </w:rPr>
      </w:pPr>
      <w:r>
        <w:rPr>
          <w:color w:val="44688F"/>
        </w:rPr>
        <w:t>August 21</w:t>
      </w:r>
      <w:r w:rsidR="009D3BA5" w:rsidRPr="009E4424">
        <w:rPr>
          <w:color w:val="44688F"/>
        </w:rPr>
        <w:t xml:space="preserve">, 2019 | </w:t>
      </w:r>
      <w:r w:rsidR="003F0D14">
        <w:rPr>
          <w:color w:val="44688F"/>
        </w:rPr>
        <w:t>9</w:t>
      </w:r>
      <w:r>
        <w:rPr>
          <w:color w:val="44688F"/>
        </w:rPr>
        <w:t>a.m –</w:t>
      </w:r>
      <w:r w:rsidR="003F0D14">
        <w:rPr>
          <w:color w:val="44688F"/>
        </w:rPr>
        <w:t xml:space="preserve"> 11</w:t>
      </w:r>
      <w:r>
        <w:rPr>
          <w:color w:val="44688F"/>
        </w:rPr>
        <w:t>a</w:t>
      </w:r>
      <w:r w:rsidR="009D3BA5" w:rsidRPr="009E4424">
        <w:rPr>
          <w:color w:val="44688F"/>
        </w:rPr>
        <w:t>.</w:t>
      </w:r>
      <w:r>
        <w:rPr>
          <w:color w:val="44688F"/>
        </w:rPr>
        <w:t>m.</w:t>
      </w:r>
      <w:r w:rsidR="009D3BA5">
        <w:rPr>
          <w:color w:val="44688F"/>
        </w:rPr>
        <w:t xml:space="preserve"> </w:t>
      </w:r>
    </w:p>
    <w:p w14:paraId="00A5265D" w14:textId="59C5E58D" w:rsidR="00312A3A" w:rsidRDefault="00312A3A" w:rsidP="00246EA3">
      <w:pPr>
        <w:pStyle w:val="Sub-titlestyle"/>
      </w:pPr>
    </w:p>
    <w:p w14:paraId="5ABD5DA1" w14:textId="18E7ADA0"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3140726E" wp14:editId="6C7A3305">
                <wp:simplePos x="0" y="0"/>
                <wp:positionH relativeFrom="page">
                  <wp:posOffset>0</wp:posOffset>
                </wp:positionH>
                <wp:positionV relativeFrom="paragraph">
                  <wp:posOffset>142240</wp:posOffset>
                </wp:positionV>
                <wp:extent cx="7753350" cy="103632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103632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59F7F3" id="Rectangle 2" o:spid="_x0000_s1026" alt="Title: Blue band - Description: decorative" style="position:absolute;margin-left:0;margin-top:11.2pt;width:610.5pt;height:8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" fillcolor="#44688f" stroked="f" strokeweight="1pt">
                <w10:wrap anchorx="page"/>
              </v:rect>
            </w:pict>
          </mc:Fallback>
        </mc:AlternateContent>
      </w:r>
    </w:p>
    <w:p w14:paraId="2DBDCAE6" w14:textId="77777777" w:rsidR="00150AFC" w:rsidRPr="00150AFC" w:rsidRDefault="00150AFC" w:rsidP="00FF7C94">
      <w:pPr>
        <w:pStyle w:val="Heading2"/>
        <w:rPr>
          <w:color w:val="FFFFFF" w:themeColor="background1"/>
        </w:rPr>
        <w:sectPr w:rsidR="00150AFC" w:rsidRPr="00150AFC" w:rsidSect="00150AFC">
          <w:type w:val="continuous"/>
          <w:pgSz w:w="12240" w:h="15840"/>
          <w:pgMar w:top="720" w:right="1440" w:bottom="720" w:left="1440" w:header="0" w:footer="720" w:gutter="0"/>
          <w:cols w:space="720"/>
          <w:docGrid w:linePitch="360"/>
        </w:sectPr>
      </w:pPr>
    </w:p>
    <w:p w14:paraId="651D9D96" w14:textId="77777777" w:rsidR="0044453B" w:rsidRPr="00150AFC" w:rsidRDefault="007A36EA" w:rsidP="00EA70BA">
      <w:pPr>
        <w:pStyle w:val="Heading2"/>
        <w:spacing w:before="0"/>
        <w:rPr>
          <w:b/>
          <w:color w:val="FFFFFF" w:themeColor="background1"/>
          <w:u w:val="single"/>
        </w:rPr>
      </w:pPr>
      <w:r w:rsidRPr="00150AFC">
        <w:rPr>
          <w:b/>
          <w:color w:val="FFFFFF" w:themeColor="background1"/>
          <w:u w:val="single"/>
        </w:rPr>
        <w:t>Location</w:t>
      </w:r>
    </w:p>
    <w:p w14:paraId="3D0AAA8C" w14:textId="5AACDE7B" w:rsidR="00BA3DFA" w:rsidRDefault="00B1512A" w:rsidP="00525266">
      <w:pPr>
        <w:rPr>
          <w:rFonts w:ascii="Franklin Gothic Book" w:hAnsi="Franklin Gothic Book"/>
          <w:color w:val="FFFFFF" w:themeColor="background1"/>
        </w:rPr>
      </w:pPr>
      <w:r>
        <w:rPr>
          <w:rFonts w:ascii="Franklin Gothic Book" w:hAnsi="Franklin Gothic Book"/>
          <w:color w:val="FFFFFF" w:themeColor="background1"/>
        </w:rPr>
        <w:t>Webex</w:t>
      </w:r>
    </w:p>
    <w:p w14:paraId="5C687991" w14:textId="4D800986" w:rsidR="00150AFC" w:rsidRPr="00FB469F" w:rsidRDefault="00EA70BA" w:rsidP="00EA70BA">
      <w:pPr>
        <w:rPr>
          <w:rFonts w:ascii="Franklin Gothic Book" w:hAnsi="Franklin Gothic Book"/>
          <w:color w:val="FFFFFF" w:themeColor="background1"/>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Committee Chair</w:t>
      </w:r>
    </w:p>
    <w:p w14:paraId="2F0C96C7" w14:textId="5B3784A0" w:rsidR="00150AFC"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Stacy Vynne McKinstry</w:t>
      </w:r>
    </w:p>
    <w:p w14:paraId="56711C63" w14:textId="51AF07DF" w:rsidR="00973884" w:rsidRPr="00C15B46" w:rsidRDefault="00C15B4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Svyn461</w:t>
      </w:r>
      <w:r w:rsidR="00973884" w:rsidRPr="00C15B46">
        <w:rPr>
          <w:rFonts w:ascii="Franklin Gothic Book" w:hAnsi="Franklin Gothic Book"/>
          <w:color w:val="FFFFFF" w:themeColor="background1"/>
          <w:sz w:val="21"/>
          <w:szCs w:val="21"/>
        </w:rPr>
        <w:t>@ecy.wa.gov</w:t>
      </w:r>
    </w:p>
    <w:p w14:paraId="478D6056" w14:textId="2C9708D1" w:rsidR="00973884" w:rsidRPr="00C15B46" w:rsidRDefault="00973884"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(425) 649-7114</w:t>
      </w:r>
      <w:r w:rsidR="00972FDD">
        <w:rPr>
          <w:rFonts w:ascii="Franklin Gothic Book" w:hAnsi="Franklin Gothic Book"/>
          <w:color w:val="FFFFFF" w:themeColor="background1"/>
          <w:sz w:val="21"/>
          <w:szCs w:val="21"/>
        </w:rPr>
        <w:tab/>
      </w:r>
    </w:p>
    <w:p w14:paraId="745E3029" w14:textId="499AE5DD" w:rsidR="00150AFC" w:rsidRPr="00150AFC" w:rsidRDefault="00EA70BA" w:rsidP="00EA70BA">
      <w:pPr>
        <w:rPr>
          <w:b/>
          <w:color w:val="FFFFFF" w:themeColor="background1"/>
          <w:u w:val="single"/>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Handouts</w:t>
      </w:r>
    </w:p>
    <w:p w14:paraId="5C6A7F11" w14:textId="1C59AD34" w:rsidR="00150AFC"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Agenda</w:t>
      </w:r>
    </w:p>
    <w:p w14:paraId="37565B6A" w14:textId="0E8FBAD4" w:rsidR="006C0C8D" w:rsidRDefault="006C0C8D"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Growth Projections</w:t>
      </w:r>
    </w:p>
    <w:p w14:paraId="3AFF1B47" w14:textId="3AFEEB12" w:rsidR="00B1512A" w:rsidRDefault="00B1512A"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Consumptive Use Calculator</w:t>
      </w:r>
    </w:p>
    <w:p w14:paraId="608CDA11" w14:textId="013BF1C8" w:rsidR="00B1512A" w:rsidRDefault="00B1512A"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Consumptive Use Scope of Work</w:t>
      </w:r>
    </w:p>
    <w:p w14:paraId="3E13B779" w14:textId="157276B9" w:rsidR="00972FDD" w:rsidRPr="00C15B46" w:rsidRDefault="00972FDD" w:rsidP="000A732B">
      <w:pPr>
        <w:rPr>
          <w:rFonts w:ascii="Franklin Gothic Book" w:hAnsi="Franklin Gothic Book"/>
          <w:color w:val="FFFFFF" w:themeColor="background1"/>
          <w:sz w:val="21"/>
          <w:szCs w:val="21"/>
        </w:rPr>
        <w:sectPr w:rsidR="00972FDD" w:rsidRPr="00C15B46" w:rsidSect="00150AFC">
          <w:type w:val="continuous"/>
          <w:pgSz w:w="12240" w:h="15840"/>
          <w:pgMar w:top="1080" w:right="1440" w:bottom="720" w:left="1440" w:header="720" w:footer="720" w:gutter="0"/>
          <w:cols w:num="3" w:space="720"/>
          <w:docGrid w:linePitch="360"/>
        </w:sectPr>
      </w:pPr>
    </w:p>
    <w:p w14:paraId="15319959" w14:textId="77777777" w:rsidR="009D3BA5" w:rsidRDefault="009D3BA5" w:rsidP="000A732B">
      <w:pPr>
        <w:pStyle w:val="Heading1"/>
        <w:spacing w:before="0"/>
        <w:rPr>
          <w:sz w:val="23"/>
          <w:szCs w:val="23"/>
        </w:rPr>
      </w:pPr>
    </w:p>
    <w:p w14:paraId="228E38A8" w14:textId="5B5E4BFB" w:rsidR="005256C3" w:rsidRPr="00965F0F" w:rsidRDefault="005256C3" w:rsidP="005B2F47">
      <w:pPr>
        <w:pStyle w:val="Heading1"/>
        <w:spacing w:before="0"/>
        <w:rPr>
          <w:rFonts w:asciiTheme="minorHAnsi" w:hAnsiTheme="minorHAnsi" w:cstheme="minorHAnsi"/>
          <w:sz w:val="22"/>
          <w:szCs w:val="22"/>
        </w:rPr>
      </w:pPr>
      <w:r w:rsidRPr="00965F0F">
        <w:rPr>
          <w:rFonts w:asciiTheme="minorHAnsi" w:hAnsiTheme="minorHAnsi" w:cstheme="minorHAnsi"/>
          <w:sz w:val="22"/>
          <w:szCs w:val="22"/>
        </w:rPr>
        <w:t>Participants</w:t>
      </w:r>
    </w:p>
    <w:p w14:paraId="4B95C9A7" w14:textId="258EFF48" w:rsidR="00D350D9" w:rsidRPr="00965F0F" w:rsidRDefault="00D350D9" w:rsidP="00D350D9">
      <w:pPr>
        <w:rPr>
          <w:rFonts w:asciiTheme="minorHAnsi" w:hAnsiTheme="minorHAnsi" w:cstheme="minorHAnsi"/>
        </w:rPr>
      </w:pPr>
      <w:r w:rsidRPr="00AD6C6C">
        <w:rPr>
          <w:rFonts w:asciiTheme="minorHAnsi" w:hAnsiTheme="minorHAnsi" w:cstheme="minorHAnsi"/>
        </w:rPr>
        <w:t>Sta</w:t>
      </w:r>
      <w:r w:rsidR="00AA398B" w:rsidRPr="00AD6C6C">
        <w:rPr>
          <w:rFonts w:asciiTheme="minorHAnsi" w:hAnsiTheme="minorHAnsi" w:cstheme="minorHAnsi"/>
        </w:rPr>
        <w:t>cy</w:t>
      </w:r>
      <w:r w:rsidR="00CE28B1" w:rsidRPr="00AD6C6C">
        <w:rPr>
          <w:rFonts w:asciiTheme="minorHAnsi" w:hAnsiTheme="minorHAnsi" w:cstheme="minorHAnsi"/>
        </w:rPr>
        <w:t xml:space="preserve"> </w:t>
      </w:r>
      <w:r w:rsidR="00AE106B" w:rsidRPr="00AD6C6C">
        <w:rPr>
          <w:rFonts w:asciiTheme="minorHAnsi" w:hAnsiTheme="minorHAnsi" w:cstheme="minorHAnsi"/>
        </w:rPr>
        <w:t xml:space="preserve">Vynne </w:t>
      </w:r>
      <w:r w:rsidR="00CE28B1" w:rsidRPr="00AD6C6C">
        <w:rPr>
          <w:rFonts w:asciiTheme="minorHAnsi" w:hAnsiTheme="minorHAnsi" w:cstheme="minorHAnsi"/>
        </w:rPr>
        <w:t>(Ecology)</w:t>
      </w:r>
      <w:r w:rsidR="00AA398B" w:rsidRPr="00AD6C6C">
        <w:rPr>
          <w:rFonts w:asciiTheme="minorHAnsi" w:hAnsiTheme="minorHAnsi" w:cstheme="minorHAnsi"/>
        </w:rPr>
        <w:t>, Bob M</w:t>
      </w:r>
      <w:r w:rsidR="00AE106B" w:rsidRPr="00AD6C6C">
        <w:rPr>
          <w:rFonts w:asciiTheme="minorHAnsi" w:hAnsiTheme="minorHAnsi" w:cstheme="minorHAnsi"/>
        </w:rPr>
        <w:t>ontgomery</w:t>
      </w:r>
      <w:r w:rsidR="00AA398B" w:rsidRPr="00AD6C6C">
        <w:rPr>
          <w:rFonts w:asciiTheme="minorHAnsi" w:hAnsiTheme="minorHAnsi" w:cstheme="minorHAnsi"/>
        </w:rPr>
        <w:t xml:space="preserve"> (Anchor QEA), Chad</w:t>
      </w:r>
      <w:r w:rsidR="00AE106B" w:rsidRPr="00AD6C6C">
        <w:rPr>
          <w:rFonts w:asciiTheme="minorHAnsi" w:hAnsiTheme="minorHAnsi" w:cstheme="minorHAnsi"/>
        </w:rPr>
        <w:t xml:space="preserve"> Wiseman</w:t>
      </w:r>
      <w:r w:rsidR="00AA398B" w:rsidRPr="00AD6C6C">
        <w:rPr>
          <w:rFonts w:asciiTheme="minorHAnsi" w:hAnsiTheme="minorHAnsi" w:cstheme="minorHAnsi"/>
        </w:rPr>
        <w:t xml:space="preserve"> (HDR), Susan</w:t>
      </w:r>
      <w:r w:rsidR="00AE106B" w:rsidRPr="00AD6C6C">
        <w:rPr>
          <w:rFonts w:asciiTheme="minorHAnsi" w:hAnsiTheme="minorHAnsi" w:cstheme="minorHAnsi"/>
        </w:rPr>
        <w:t xml:space="preserve"> Gulick</w:t>
      </w:r>
      <w:r w:rsidR="00CE28B1" w:rsidRPr="00AD6C6C">
        <w:rPr>
          <w:rFonts w:asciiTheme="minorHAnsi" w:hAnsiTheme="minorHAnsi" w:cstheme="minorHAnsi"/>
        </w:rPr>
        <w:t xml:space="preserve"> (Sound Resolutions/Facilitator)</w:t>
      </w:r>
      <w:r w:rsidR="00AA398B" w:rsidRPr="00AD6C6C">
        <w:rPr>
          <w:rFonts w:asciiTheme="minorHAnsi" w:hAnsiTheme="minorHAnsi" w:cstheme="minorHAnsi"/>
        </w:rPr>
        <w:t>, Dan G</w:t>
      </w:r>
      <w:r w:rsidR="00AE106B" w:rsidRPr="00AD6C6C">
        <w:rPr>
          <w:rFonts w:asciiTheme="minorHAnsi" w:hAnsiTheme="minorHAnsi" w:cstheme="minorHAnsi"/>
        </w:rPr>
        <w:t>raves</w:t>
      </w:r>
      <w:r w:rsidR="00AA398B" w:rsidRPr="00AD6C6C">
        <w:rPr>
          <w:rFonts w:asciiTheme="minorHAnsi" w:hAnsiTheme="minorHAnsi" w:cstheme="minorHAnsi"/>
        </w:rPr>
        <w:t xml:space="preserve"> (HDR)</w:t>
      </w:r>
      <w:r w:rsidR="00D975E5" w:rsidRPr="00AD6C6C">
        <w:rPr>
          <w:rFonts w:asciiTheme="minorHAnsi" w:hAnsiTheme="minorHAnsi" w:cstheme="minorHAnsi"/>
        </w:rPr>
        <w:t>, Austin</w:t>
      </w:r>
      <w:r w:rsidR="00AE106B" w:rsidRPr="00AD6C6C">
        <w:rPr>
          <w:rFonts w:asciiTheme="minorHAnsi" w:hAnsiTheme="minorHAnsi" w:cstheme="minorHAnsi"/>
        </w:rPr>
        <w:t xml:space="preserve"> Jennings</w:t>
      </w:r>
      <w:r w:rsidR="00CE28B1" w:rsidRPr="00AD6C6C">
        <w:rPr>
          <w:rFonts w:asciiTheme="minorHAnsi" w:hAnsiTheme="minorHAnsi" w:cstheme="minorHAnsi"/>
        </w:rPr>
        <w:t xml:space="preserve"> (Pierce Co.)</w:t>
      </w:r>
      <w:r w:rsidR="00D975E5" w:rsidRPr="00AD6C6C">
        <w:rPr>
          <w:rFonts w:asciiTheme="minorHAnsi" w:hAnsiTheme="minorHAnsi" w:cstheme="minorHAnsi"/>
        </w:rPr>
        <w:t>, Brittany</w:t>
      </w:r>
      <w:r w:rsidR="00AE106B" w:rsidRPr="00AD6C6C">
        <w:rPr>
          <w:rFonts w:asciiTheme="minorHAnsi" w:hAnsiTheme="minorHAnsi" w:cstheme="minorHAnsi"/>
        </w:rPr>
        <w:t xml:space="preserve"> Gordon</w:t>
      </w:r>
      <w:r w:rsidR="00CE28B1" w:rsidRPr="00AD6C6C">
        <w:rPr>
          <w:rFonts w:asciiTheme="minorHAnsi" w:hAnsiTheme="minorHAnsi" w:cstheme="minorHAnsi"/>
        </w:rPr>
        <w:t xml:space="preserve"> (WDFW)</w:t>
      </w:r>
      <w:r w:rsidR="00D975E5" w:rsidRPr="00AD6C6C">
        <w:rPr>
          <w:rFonts w:asciiTheme="minorHAnsi" w:hAnsiTheme="minorHAnsi" w:cstheme="minorHAnsi"/>
        </w:rPr>
        <w:t xml:space="preserve">, Joe </w:t>
      </w:r>
      <w:r w:rsidR="00AD6C6C" w:rsidRPr="00AD6C6C">
        <w:rPr>
          <w:rFonts w:asciiTheme="minorHAnsi" w:hAnsiTheme="minorHAnsi" w:cstheme="minorHAnsi"/>
        </w:rPr>
        <w:t>Hovenkotter</w:t>
      </w:r>
      <w:r w:rsidR="00AA398B" w:rsidRPr="00AD6C6C">
        <w:rPr>
          <w:rFonts w:asciiTheme="minorHAnsi" w:hAnsiTheme="minorHAnsi" w:cstheme="minorHAnsi"/>
        </w:rPr>
        <w:t xml:space="preserve"> (King Co), Zack</w:t>
      </w:r>
      <w:r w:rsidR="00CE28B1" w:rsidRPr="00AD6C6C">
        <w:rPr>
          <w:rFonts w:asciiTheme="minorHAnsi" w:hAnsiTheme="minorHAnsi" w:cstheme="minorHAnsi"/>
        </w:rPr>
        <w:t xml:space="preserve"> (Port Orchard)</w:t>
      </w:r>
      <w:r w:rsidR="00AA398B" w:rsidRPr="00AD6C6C">
        <w:rPr>
          <w:rFonts w:asciiTheme="minorHAnsi" w:hAnsiTheme="minorHAnsi" w:cstheme="minorHAnsi"/>
        </w:rPr>
        <w:t>, David N</w:t>
      </w:r>
      <w:r w:rsidR="00AE106B" w:rsidRPr="00AD6C6C">
        <w:rPr>
          <w:rFonts w:asciiTheme="minorHAnsi" w:hAnsiTheme="minorHAnsi" w:cstheme="minorHAnsi"/>
        </w:rPr>
        <w:t>ash</w:t>
      </w:r>
      <w:r w:rsidR="00CE28B1" w:rsidRPr="00AD6C6C">
        <w:rPr>
          <w:rFonts w:asciiTheme="minorHAnsi" w:hAnsiTheme="minorHAnsi" w:cstheme="minorHAnsi"/>
        </w:rPr>
        <w:t xml:space="preserve"> (Kitsap Co.)</w:t>
      </w:r>
      <w:r w:rsidR="00AA398B" w:rsidRPr="00AD6C6C">
        <w:rPr>
          <w:rFonts w:asciiTheme="minorHAnsi" w:hAnsiTheme="minorHAnsi" w:cstheme="minorHAnsi"/>
        </w:rPr>
        <w:t>, Greg</w:t>
      </w:r>
      <w:r w:rsidR="00CE28B1" w:rsidRPr="00AD6C6C">
        <w:rPr>
          <w:rFonts w:asciiTheme="minorHAnsi" w:hAnsiTheme="minorHAnsi" w:cstheme="minorHAnsi"/>
        </w:rPr>
        <w:t xml:space="preserve"> </w:t>
      </w:r>
      <w:r w:rsidR="00AE106B" w:rsidRPr="00AD6C6C">
        <w:rPr>
          <w:rFonts w:asciiTheme="minorHAnsi" w:hAnsiTheme="minorHAnsi" w:cstheme="minorHAnsi"/>
        </w:rPr>
        <w:t xml:space="preserve"> Rabourn</w:t>
      </w:r>
      <w:r w:rsidR="00CE28B1" w:rsidRPr="00AD6C6C">
        <w:rPr>
          <w:rFonts w:asciiTheme="minorHAnsi" w:hAnsiTheme="minorHAnsi" w:cstheme="minorHAnsi"/>
        </w:rPr>
        <w:t>(King Co.)</w:t>
      </w:r>
      <w:r w:rsidR="00D975E5" w:rsidRPr="00AD6C6C">
        <w:rPr>
          <w:rFonts w:asciiTheme="minorHAnsi" w:hAnsiTheme="minorHAnsi" w:cstheme="minorHAnsi"/>
        </w:rPr>
        <w:t>,  Paul</w:t>
      </w:r>
      <w:r w:rsidR="00AE106B" w:rsidRPr="00AD6C6C">
        <w:rPr>
          <w:rFonts w:asciiTheme="minorHAnsi" w:hAnsiTheme="minorHAnsi" w:cstheme="minorHAnsi"/>
        </w:rPr>
        <w:t xml:space="preserve"> Pickett</w:t>
      </w:r>
      <w:r w:rsidR="00CE28B1" w:rsidRPr="00AD6C6C">
        <w:rPr>
          <w:rFonts w:asciiTheme="minorHAnsi" w:hAnsiTheme="minorHAnsi" w:cstheme="minorHAnsi"/>
        </w:rPr>
        <w:t xml:space="preserve"> (Squaxin Island Tribe)</w:t>
      </w:r>
      <w:r w:rsidR="00D975E5" w:rsidRPr="00AD6C6C">
        <w:rPr>
          <w:rFonts w:asciiTheme="minorHAnsi" w:hAnsiTheme="minorHAnsi" w:cstheme="minorHAnsi"/>
        </w:rPr>
        <w:t>, John O</w:t>
      </w:r>
      <w:r w:rsidR="00AE106B" w:rsidRPr="00AD6C6C">
        <w:rPr>
          <w:rFonts w:asciiTheme="minorHAnsi" w:hAnsiTheme="minorHAnsi" w:cstheme="minorHAnsi"/>
        </w:rPr>
        <w:t>’Leary</w:t>
      </w:r>
      <w:r w:rsidR="00CE28B1" w:rsidRPr="00AD6C6C">
        <w:rPr>
          <w:rFonts w:asciiTheme="minorHAnsi" w:hAnsiTheme="minorHAnsi" w:cstheme="minorHAnsi"/>
        </w:rPr>
        <w:t xml:space="preserve"> (Squamish Tribe)</w:t>
      </w:r>
      <w:r w:rsidR="00D975E5" w:rsidRPr="00AD6C6C">
        <w:rPr>
          <w:rFonts w:asciiTheme="minorHAnsi" w:hAnsiTheme="minorHAnsi" w:cstheme="minorHAnsi"/>
        </w:rPr>
        <w:t>, Dave Windom</w:t>
      </w:r>
      <w:r w:rsidR="00CE28B1" w:rsidRPr="00AD6C6C">
        <w:rPr>
          <w:rFonts w:asciiTheme="minorHAnsi" w:hAnsiTheme="minorHAnsi" w:cstheme="minorHAnsi"/>
        </w:rPr>
        <w:t xml:space="preserve"> (Mason Co.)</w:t>
      </w:r>
      <w:r w:rsidR="00D975E5" w:rsidRPr="00AD6C6C">
        <w:rPr>
          <w:rFonts w:asciiTheme="minorHAnsi" w:hAnsiTheme="minorHAnsi" w:cstheme="minorHAnsi"/>
        </w:rPr>
        <w:t>, Joel</w:t>
      </w:r>
      <w:r w:rsidR="00CE28B1" w:rsidRPr="00AD6C6C">
        <w:rPr>
          <w:rFonts w:asciiTheme="minorHAnsi" w:hAnsiTheme="minorHAnsi" w:cstheme="minorHAnsi"/>
        </w:rPr>
        <w:t xml:space="preserve"> </w:t>
      </w:r>
      <w:r w:rsidR="00AE106B" w:rsidRPr="00AD6C6C">
        <w:rPr>
          <w:rFonts w:asciiTheme="minorHAnsi" w:hAnsiTheme="minorHAnsi" w:cstheme="minorHAnsi"/>
        </w:rPr>
        <w:t>Purdy</w:t>
      </w:r>
      <w:r w:rsidR="00CE28B1" w:rsidRPr="00AD6C6C">
        <w:rPr>
          <w:rFonts w:asciiTheme="minorHAnsi" w:hAnsiTheme="minorHAnsi" w:cstheme="minorHAnsi"/>
        </w:rPr>
        <w:t>(Kitsap PUD)</w:t>
      </w:r>
    </w:p>
    <w:p w14:paraId="317491CF" w14:textId="77777777" w:rsidR="005B2F47" w:rsidRPr="00965F0F" w:rsidRDefault="005B2F47" w:rsidP="005B2F47">
      <w:pPr>
        <w:pStyle w:val="Heading1"/>
        <w:rPr>
          <w:rFonts w:asciiTheme="minorHAnsi" w:hAnsiTheme="minorHAnsi" w:cstheme="minorHAnsi"/>
          <w:sz w:val="22"/>
          <w:szCs w:val="22"/>
        </w:rPr>
      </w:pPr>
      <w:r w:rsidRPr="00965F0F">
        <w:rPr>
          <w:rFonts w:asciiTheme="minorHAnsi" w:hAnsiTheme="minorHAnsi" w:cstheme="minorHAnsi"/>
          <w:sz w:val="22"/>
          <w:szCs w:val="22"/>
        </w:rPr>
        <w:t xml:space="preserve">Growth Projections </w:t>
      </w:r>
    </w:p>
    <w:p w14:paraId="7243C3E9" w14:textId="266249EA" w:rsidR="005256C3" w:rsidRPr="00965F0F" w:rsidRDefault="00AA398B" w:rsidP="005256C3">
      <w:pPr>
        <w:pStyle w:val="Normal1style"/>
        <w:tabs>
          <w:tab w:val="left" w:pos="6120"/>
        </w:tabs>
        <w:spacing w:before="120"/>
        <w:rPr>
          <w:rFonts w:asciiTheme="minorHAnsi" w:hAnsiTheme="minorHAnsi" w:cstheme="minorHAnsi"/>
          <w:bCs/>
          <w:color w:val="000000" w:themeColor="text1"/>
        </w:rPr>
      </w:pPr>
      <w:r w:rsidRPr="00965F0F">
        <w:rPr>
          <w:rFonts w:asciiTheme="minorHAnsi" w:hAnsiTheme="minorHAnsi" w:cstheme="minorHAnsi"/>
          <w:bCs/>
          <w:color w:val="000000" w:themeColor="text1"/>
        </w:rPr>
        <w:t xml:space="preserve">Chad Wiseman introduced himself as the HDR project manager and liaison to WRIAs 12, 13 and 14. HDR provided </w:t>
      </w:r>
      <w:r w:rsidR="00537F01">
        <w:rPr>
          <w:rFonts w:asciiTheme="minorHAnsi" w:hAnsiTheme="minorHAnsi" w:cstheme="minorHAnsi"/>
          <w:bCs/>
          <w:color w:val="000000" w:themeColor="text1"/>
        </w:rPr>
        <w:t xml:space="preserve">Ecology and the Committee </w:t>
      </w:r>
      <w:r w:rsidRPr="00965F0F">
        <w:rPr>
          <w:rFonts w:asciiTheme="minorHAnsi" w:hAnsiTheme="minorHAnsi" w:cstheme="minorHAnsi"/>
          <w:bCs/>
          <w:color w:val="000000" w:themeColor="text1"/>
        </w:rPr>
        <w:t xml:space="preserve">the initial growth </w:t>
      </w:r>
      <w:r w:rsidR="0001168C" w:rsidRPr="00965F0F">
        <w:rPr>
          <w:rFonts w:asciiTheme="minorHAnsi" w:hAnsiTheme="minorHAnsi" w:cstheme="minorHAnsi"/>
          <w:bCs/>
          <w:color w:val="000000" w:themeColor="text1"/>
        </w:rPr>
        <w:t>projection</w:t>
      </w:r>
      <w:r w:rsidR="00537F01">
        <w:rPr>
          <w:rFonts w:asciiTheme="minorHAnsi" w:hAnsiTheme="minorHAnsi" w:cstheme="minorHAnsi"/>
          <w:bCs/>
          <w:color w:val="000000" w:themeColor="text1"/>
        </w:rPr>
        <w:t>s</w:t>
      </w:r>
      <w:r w:rsidRPr="00965F0F">
        <w:rPr>
          <w:rFonts w:asciiTheme="minorHAnsi" w:hAnsiTheme="minorHAnsi" w:cstheme="minorHAnsi"/>
          <w:bCs/>
          <w:color w:val="000000" w:themeColor="text1"/>
        </w:rPr>
        <w:t xml:space="preserve"> at the end of July (memo and spreadsheets). The projections were done at the county level and summed to compose the growth projections for the WRIA. Counties use different methodologies and therefore the approach to the growth projections varied by county. In addition, Kitsap and King </w:t>
      </w:r>
      <w:r w:rsidR="00537F01">
        <w:rPr>
          <w:rFonts w:asciiTheme="minorHAnsi" w:hAnsiTheme="minorHAnsi" w:cstheme="minorHAnsi"/>
          <w:bCs/>
          <w:color w:val="000000" w:themeColor="text1"/>
        </w:rPr>
        <w:t>c</w:t>
      </w:r>
      <w:r w:rsidR="00537F01" w:rsidRPr="00965F0F">
        <w:rPr>
          <w:rFonts w:asciiTheme="minorHAnsi" w:hAnsiTheme="minorHAnsi" w:cstheme="minorHAnsi"/>
          <w:bCs/>
          <w:color w:val="000000" w:themeColor="text1"/>
        </w:rPr>
        <w:t>ounties</w:t>
      </w:r>
      <w:r w:rsidRPr="00965F0F">
        <w:rPr>
          <w:rFonts w:asciiTheme="minorHAnsi" w:hAnsiTheme="minorHAnsi" w:cstheme="minorHAnsi"/>
          <w:bCs/>
          <w:color w:val="000000" w:themeColor="text1"/>
        </w:rPr>
        <w:t xml:space="preserve"> did the work in house; HDR developed for Mason and Pierce counties under direction by the counties.</w:t>
      </w:r>
    </w:p>
    <w:p w14:paraId="0C3ABC6F" w14:textId="445B9B48" w:rsidR="00AA398B" w:rsidRPr="00965F0F" w:rsidRDefault="00AA398B" w:rsidP="005256C3">
      <w:pPr>
        <w:pStyle w:val="Normal1style"/>
        <w:tabs>
          <w:tab w:val="left" w:pos="6120"/>
        </w:tabs>
        <w:spacing w:before="120"/>
        <w:rPr>
          <w:rFonts w:asciiTheme="minorHAnsi" w:hAnsiTheme="minorHAnsi" w:cstheme="minorHAnsi"/>
          <w:bCs/>
          <w:color w:val="000000" w:themeColor="text1"/>
        </w:rPr>
      </w:pPr>
    </w:p>
    <w:p w14:paraId="0FC7DFB6" w14:textId="23BA60DD" w:rsidR="00AA398B" w:rsidRPr="00965F0F" w:rsidRDefault="00013AE4" w:rsidP="005256C3">
      <w:pPr>
        <w:pStyle w:val="Normal1style"/>
        <w:tabs>
          <w:tab w:val="left" w:pos="6120"/>
        </w:tabs>
        <w:spacing w:before="120"/>
        <w:rPr>
          <w:rFonts w:asciiTheme="minorHAnsi" w:hAnsiTheme="minorHAnsi" w:cstheme="minorHAnsi"/>
          <w:bCs/>
          <w:color w:val="000000" w:themeColor="text1"/>
        </w:rPr>
      </w:pPr>
      <w:r w:rsidRPr="00965F0F">
        <w:rPr>
          <w:rFonts w:asciiTheme="minorHAnsi" w:hAnsiTheme="minorHAnsi" w:cstheme="minorHAnsi"/>
          <w:bCs/>
          <w:color w:val="000000" w:themeColor="text1"/>
        </w:rPr>
        <w:t xml:space="preserve">Chad summarized the methods used for the growth projections by each county (see </w:t>
      </w:r>
      <w:r w:rsidRPr="00965F0F">
        <w:rPr>
          <w:rFonts w:asciiTheme="minorHAnsi" w:hAnsiTheme="minorHAnsi" w:cstheme="minorHAnsi"/>
          <w:bCs/>
          <w:i/>
          <w:color w:val="000000" w:themeColor="text1"/>
        </w:rPr>
        <w:t xml:space="preserve">Growth Projections </w:t>
      </w:r>
      <w:r w:rsidRPr="00965F0F">
        <w:rPr>
          <w:rFonts w:asciiTheme="minorHAnsi" w:hAnsiTheme="minorHAnsi" w:cstheme="minorHAnsi"/>
          <w:bCs/>
          <w:color w:val="000000" w:themeColor="text1"/>
        </w:rPr>
        <w:t>memo). HDR seeks feedback on the methods, but wants to be sensitive to the county information. HDR is working with King and Kitsap counties to finish up work on their heat</w:t>
      </w:r>
      <w:r w:rsidR="00537F01">
        <w:rPr>
          <w:rFonts w:asciiTheme="minorHAnsi" w:hAnsiTheme="minorHAnsi" w:cstheme="minorHAnsi"/>
          <w:bCs/>
          <w:color w:val="000000" w:themeColor="text1"/>
        </w:rPr>
        <w:t xml:space="preserve"> </w:t>
      </w:r>
      <w:r w:rsidRPr="00965F0F">
        <w:rPr>
          <w:rFonts w:asciiTheme="minorHAnsi" w:hAnsiTheme="minorHAnsi" w:cstheme="minorHAnsi"/>
          <w:bCs/>
          <w:color w:val="000000" w:themeColor="text1"/>
        </w:rPr>
        <w:t>maps. We anticipate them soon.</w:t>
      </w:r>
    </w:p>
    <w:p w14:paraId="61B97F15" w14:textId="77777777" w:rsidR="00013AE4" w:rsidRPr="00965F0F" w:rsidRDefault="00013AE4" w:rsidP="005256C3">
      <w:pPr>
        <w:pStyle w:val="Normal1style"/>
        <w:tabs>
          <w:tab w:val="left" w:pos="6120"/>
        </w:tabs>
        <w:spacing w:before="120"/>
        <w:rPr>
          <w:rFonts w:asciiTheme="minorHAnsi" w:hAnsiTheme="minorHAnsi" w:cstheme="minorHAnsi"/>
          <w:bCs/>
          <w:color w:val="000000" w:themeColor="text1"/>
        </w:rPr>
      </w:pPr>
    </w:p>
    <w:p w14:paraId="47342718" w14:textId="60E78091" w:rsidR="00AA398B" w:rsidRPr="00965F0F" w:rsidRDefault="00AA398B" w:rsidP="00FA0320">
      <w:pPr>
        <w:pStyle w:val="Normal1style"/>
        <w:tabs>
          <w:tab w:val="left" w:pos="6120"/>
        </w:tabs>
        <w:spacing w:before="120"/>
        <w:rPr>
          <w:rFonts w:asciiTheme="minorHAnsi" w:hAnsiTheme="minorHAnsi" w:cstheme="minorHAnsi"/>
          <w:bCs/>
          <w:color w:val="000000" w:themeColor="text1"/>
        </w:rPr>
      </w:pPr>
      <w:r w:rsidRPr="00965F0F">
        <w:rPr>
          <w:rFonts w:asciiTheme="minorHAnsi" w:hAnsiTheme="minorHAnsi" w:cstheme="minorHAnsi"/>
          <w:bCs/>
          <w:color w:val="000000" w:themeColor="text1"/>
        </w:rPr>
        <w:t xml:space="preserve">HDR can run up to four scenarios for the WRIA by altering the variables in the growth projection methods. HDR and Ecology are developing a memo that lays out potential options for running different </w:t>
      </w:r>
      <w:r w:rsidR="00773262" w:rsidRPr="00965F0F">
        <w:rPr>
          <w:rFonts w:asciiTheme="minorHAnsi" w:hAnsiTheme="minorHAnsi" w:cstheme="minorHAnsi"/>
          <w:bCs/>
          <w:color w:val="000000" w:themeColor="text1"/>
        </w:rPr>
        <w:t>scenarios</w:t>
      </w:r>
      <w:r w:rsidRPr="00965F0F">
        <w:rPr>
          <w:rFonts w:asciiTheme="minorHAnsi" w:hAnsiTheme="minorHAnsi" w:cstheme="minorHAnsi"/>
          <w:bCs/>
          <w:color w:val="000000" w:themeColor="text1"/>
        </w:rPr>
        <w:t xml:space="preserve">. The workgroup can recommend to the committee which alternative scenarios they want. The workgroup needs to be mindful that the current growth projections are calculated using the </w:t>
      </w:r>
      <w:r w:rsidR="00773262" w:rsidRPr="00965F0F">
        <w:rPr>
          <w:rFonts w:asciiTheme="minorHAnsi" w:hAnsiTheme="minorHAnsi" w:cstheme="minorHAnsi"/>
          <w:bCs/>
          <w:color w:val="000000" w:themeColor="text1"/>
        </w:rPr>
        <w:t>counties</w:t>
      </w:r>
      <w:r w:rsidRPr="00965F0F">
        <w:rPr>
          <w:rFonts w:asciiTheme="minorHAnsi" w:hAnsiTheme="minorHAnsi" w:cstheme="minorHAnsi"/>
          <w:bCs/>
          <w:color w:val="000000" w:themeColor="text1"/>
        </w:rPr>
        <w:t xml:space="preserve">’ preferred methods. </w:t>
      </w:r>
    </w:p>
    <w:p w14:paraId="4FBB20B0" w14:textId="58E1EE61" w:rsidR="00AA398B" w:rsidRPr="00965F0F" w:rsidRDefault="00AA398B" w:rsidP="00FA0320">
      <w:pPr>
        <w:pStyle w:val="Normal1style"/>
        <w:tabs>
          <w:tab w:val="left" w:pos="6120"/>
        </w:tabs>
        <w:spacing w:before="120"/>
        <w:rPr>
          <w:rFonts w:asciiTheme="minorHAnsi" w:hAnsiTheme="minorHAnsi" w:cstheme="minorHAnsi"/>
          <w:bCs/>
          <w:color w:val="000000" w:themeColor="text1"/>
        </w:rPr>
      </w:pPr>
    </w:p>
    <w:p w14:paraId="79D43252" w14:textId="77777777" w:rsidR="00AA398B" w:rsidRPr="00965F0F" w:rsidRDefault="00AA398B" w:rsidP="00AA398B">
      <w:pPr>
        <w:pStyle w:val="Normal1style"/>
        <w:tabs>
          <w:tab w:val="left" w:pos="6120"/>
        </w:tabs>
        <w:spacing w:before="120"/>
        <w:rPr>
          <w:rFonts w:asciiTheme="minorHAnsi" w:hAnsiTheme="minorHAnsi" w:cstheme="minorHAnsi"/>
          <w:bCs/>
          <w:color w:val="000000" w:themeColor="text1"/>
        </w:rPr>
      </w:pPr>
      <w:r w:rsidRPr="00965F0F">
        <w:rPr>
          <w:rFonts w:asciiTheme="minorHAnsi" w:hAnsiTheme="minorHAnsi" w:cstheme="minorHAnsi"/>
          <w:bCs/>
          <w:color w:val="000000" w:themeColor="text1"/>
        </w:rPr>
        <w:t>For growth projections, HDR seeks input from the workgroup and committee on two areas:</w:t>
      </w:r>
    </w:p>
    <w:p w14:paraId="5C9B7BC8" w14:textId="77777777" w:rsidR="00AA398B" w:rsidRPr="00965F0F" w:rsidRDefault="00AA398B" w:rsidP="00AA398B">
      <w:pPr>
        <w:pStyle w:val="Normal1style"/>
        <w:numPr>
          <w:ilvl w:val="0"/>
          <w:numId w:val="27"/>
        </w:numPr>
        <w:tabs>
          <w:tab w:val="left" w:pos="6120"/>
        </w:tabs>
        <w:spacing w:before="120"/>
        <w:rPr>
          <w:rFonts w:asciiTheme="minorHAnsi" w:hAnsiTheme="minorHAnsi" w:cstheme="minorHAnsi"/>
          <w:bCs/>
          <w:color w:val="000000" w:themeColor="text1"/>
        </w:rPr>
      </w:pPr>
      <w:r w:rsidRPr="00965F0F">
        <w:rPr>
          <w:rFonts w:asciiTheme="minorHAnsi" w:hAnsiTheme="minorHAnsi" w:cstheme="minorHAnsi"/>
          <w:bCs/>
          <w:color w:val="000000" w:themeColor="text1"/>
        </w:rPr>
        <w:t>Are there any technical errors that need correction in the memo or spreadsheets?</w:t>
      </w:r>
    </w:p>
    <w:p w14:paraId="53E89B92" w14:textId="2C3C2959" w:rsidR="00AA398B" w:rsidRPr="00965F0F" w:rsidRDefault="00AA398B" w:rsidP="00AA398B">
      <w:pPr>
        <w:pStyle w:val="Normal1style"/>
        <w:numPr>
          <w:ilvl w:val="0"/>
          <w:numId w:val="27"/>
        </w:numPr>
        <w:tabs>
          <w:tab w:val="left" w:pos="6120"/>
        </w:tabs>
        <w:spacing w:before="120"/>
        <w:rPr>
          <w:rFonts w:asciiTheme="minorHAnsi" w:hAnsiTheme="minorHAnsi" w:cstheme="minorHAnsi"/>
          <w:bCs/>
          <w:color w:val="000000" w:themeColor="text1"/>
        </w:rPr>
      </w:pPr>
      <w:r w:rsidRPr="00965F0F">
        <w:rPr>
          <w:rFonts w:asciiTheme="minorHAnsi" w:hAnsiTheme="minorHAnsi" w:cstheme="minorHAnsi"/>
          <w:bCs/>
          <w:color w:val="000000" w:themeColor="text1"/>
        </w:rPr>
        <w:t>Is there feedback on the methods used and do we want to see growth projections calculated in a different way? (</w:t>
      </w:r>
      <w:r w:rsidR="00CE28B1">
        <w:rPr>
          <w:rFonts w:asciiTheme="minorHAnsi" w:hAnsiTheme="minorHAnsi" w:cstheme="minorHAnsi"/>
          <w:bCs/>
          <w:color w:val="000000" w:themeColor="text1"/>
        </w:rPr>
        <w:t xml:space="preserve">for example, run </w:t>
      </w:r>
      <w:r w:rsidRPr="00965F0F">
        <w:rPr>
          <w:rFonts w:asciiTheme="minorHAnsi" w:hAnsiTheme="minorHAnsi" w:cstheme="minorHAnsi"/>
          <w:bCs/>
          <w:color w:val="000000" w:themeColor="text1"/>
        </w:rPr>
        <w:t xml:space="preserve">different growth projection </w:t>
      </w:r>
      <w:r w:rsidR="00773262" w:rsidRPr="00965F0F">
        <w:rPr>
          <w:rFonts w:asciiTheme="minorHAnsi" w:hAnsiTheme="minorHAnsi" w:cstheme="minorHAnsi"/>
          <w:bCs/>
          <w:color w:val="000000" w:themeColor="text1"/>
        </w:rPr>
        <w:t>scenarios</w:t>
      </w:r>
      <w:r w:rsidRPr="00965F0F">
        <w:rPr>
          <w:rFonts w:asciiTheme="minorHAnsi" w:hAnsiTheme="minorHAnsi" w:cstheme="minorHAnsi"/>
          <w:bCs/>
          <w:color w:val="000000" w:themeColor="text1"/>
        </w:rPr>
        <w:t>)</w:t>
      </w:r>
    </w:p>
    <w:p w14:paraId="6E82F566" w14:textId="310D350E" w:rsidR="00AA398B" w:rsidRPr="00965F0F" w:rsidRDefault="00AA398B" w:rsidP="00FA0320">
      <w:pPr>
        <w:pStyle w:val="Normal1style"/>
        <w:tabs>
          <w:tab w:val="left" w:pos="6120"/>
        </w:tabs>
        <w:spacing w:before="120"/>
        <w:rPr>
          <w:rFonts w:asciiTheme="minorHAnsi" w:hAnsiTheme="minorHAnsi" w:cstheme="minorHAnsi"/>
          <w:bCs/>
          <w:color w:val="000000" w:themeColor="text1"/>
        </w:rPr>
      </w:pPr>
    </w:p>
    <w:p w14:paraId="186A9770" w14:textId="2D2CD75D" w:rsidR="006F09AB" w:rsidRPr="00965F0F" w:rsidRDefault="00013AE4" w:rsidP="00FA0320">
      <w:pPr>
        <w:pStyle w:val="Normal1style"/>
        <w:tabs>
          <w:tab w:val="left" w:pos="6120"/>
        </w:tabs>
        <w:spacing w:before="120"/>
        <w:rPr>
          <w:rFonts w:asciiTheme="minorHAnsi" w:hAnsiTheme="minorHAnsi" w:cstheme="minorHAnsi"/>
          <w:bCs/>
          <w:color w:val="000000" w:themeColor="text1"/>
        </w:rPr>
      </w:pPr>
      <w:r w:rsidRPr="00965F0F">
        <w:rPr>
          <w:rFonts w:asciiTheme="minorHAnsi" w:hAnsiTheme="minorHAnsi" w:cstheme="minorHAnsi"/>
          <w:bCs/>
          <w:color w:val="000000" w:themeColor="text1"/>
        </w:rPr>
        <w:t>Questions and Discussion</w:t>
      </w:r>
    </w:p>
    <w:p w14:paraId="467A612C" w14:textId="44C34F56" w:rsidR="00013AE4" w:rsidRPr="00965F0F" w:rsidRDefault="00013AE4" w:rsidP="00013AE4">
      <w:pPr>
        <w:pStyle w:val="Normal1style"/>
        <w:numPr>
          <w:ilvl w:val="0"/>
          <w:numId w:val="28"/>
        </w:numPr>
        <w:tabs>
          <w:tab w:val="left" w:pos="6120"/>
        </w:tabs>
        <w:spacing w:before="120"/>
        <w:rPr>
          <w:rFonts w:asciiTheme="minorHAnsi" w:hAnsiTheme="minorHAnsi" w:cstheme="minorHAnsi"/>
          <w:bCs/>
          <w:color w:val="000000" w:themeColor="text1"/>
        </w:rPr>
      </w:pPr>
      <w:r w:rsidRPr="00965F0F">
        <w:rPr>
          <w:rFonts w:asciiTheme="minorHAnsi" w:hAnsiTheme="minorHAnsi" w:cstheme="minorHAnsi"/>
          <w:bCs/>
          <w:color w:val="000000" w:themeColor="text1"/>
        </w:rPr>
        <w:t>Recommendation to capture the assumptions in the growth projections and ensure it is an iterative process.</w:t>
      </w:r>
    </w:p>
    <w:p w14:paraId="13C778A1" w14:textId="7D3070B7" w:rsidR="00013AE4" w:rsidRPr="00965F0F" w:rsidRDefault="00013AE4" w:rsidP="00013AE4">
      <w:pPr>
        <w:pStyle w:val="Normal1style"/>
        <w:numPr>
          <w:ilvl w:val="0"/>
          <w:numId w:val="28"/>
        </w:numPr>
        <w:tabs>
          <w:tab w:val="left" w:pos="6120"/>
        </w:tabs>
        <w:spacing w:before="120"/>
        <w:rPr>
          <w:rFonts w:asciiTheme="minorHAnsi" w:hAnsiTheme="minorHAnsi" w:cstheme="minorHAnsi"/>
          <w:bCs/>
        </w:rPr>
      </w:pPr>
      <w:r w:rsidRPr="00965F0F">
        <w:rPr>
          <w:rFonts w:asciiTheme="minorHAnsi" w:hAnsiTheme="minorHAnsi" w:cstheme="minorHAnsi"/>
          <w:bCs/>
          <w:color w:val="000000" w:themeColor="text1"/>
        </w:rPr>
        <w:t xml:space="preserve">Clarification that the use of the term “interpolate data” in the memo in reference to Mason Co </w:t>
      </w:r>
      <w:r w:rsidRPr="00965F0F">
        <w:rPr>
          <w:rFonts w:asciiTheme="minorHAnsi" w:hAnsiTheme="minorHAnsi" w:cstheme="minorHAnsi"/>
          <w:bCs/>
        </w:rPr>
        <w:t xml:space="preserve">process should be replaced by “extrapolate” – the comprehensive plan is through 2036 and HDR had to </w:t>
      </w:r>
      <w:r w:rsidR="004878D7">
        <w:rPr>
          <w:rFonts w:asciiTheme="minorHAnsi" w:hAnsiTheme="minorHAnsi" w:cstheme="minorHAnsi"/>
          <w:bCs/>
        </w:rPr>
        <w:t>project</w:t>
      </w:r>
      <w:r w:rsidRPr="00965F0F">
        <w:rPr>
          <w:rFonts w:asciiTheme="minorHAnsi" w:hAnsiTheme="minorHAnsi" w:cstheme="minorHAnsi"/>
          <w:bCs/>
        </w:rPr>
        <w:t xml:space="preserve"> the additional 2 years to reach the 20 year growth projection estimate.</w:t>
      </w:r>
    </w:p>
    <w:p w14:paraId="3C7F38EF" w14:textId="693F5465" w:rsidR="008B7AC0" w:rsidRPr="00965F0F" w:rsidRDefault="008B7AC0" w:rsidP="00013AE4">
      <w:pPr>
        <w:pStyle w:val="Normal1style"/>
        <w:numPr>
          <w:ilvl w:val="0"/>
          <w:numId w:val="28"/>
        </w:numPr>
        <w:tabs>
          <w:tab w:val="left" w:pos="6120"/>
        </w:tabs>
        <w:spacing w:before="120"/>
        <w:rPr>
          <w:rFonts w:asciiTheme="minorHAnsi" w:hAnsiTheme="minorHAnsi" w:cstheme="minorHAnsi"/>
          <w:bCs/>
        </w:rPr>
      </w:pPr>
      <w:r w:rsidRPr="00965F0F">
        <w:rPr>
          <w:rFonts w:asciiTheme="minorHAnsi" w:hAnsiTheme="minorHAnsi" w:cstheme="minorHAnsi"/>
          <w:bCs/>
        </w:rPr>
        <w:t xml:space="preserve">Interest in using parcel inventory to come up with the maximum range and then apply it to the growth projections to ensure we are not overshooting. This may be more relevant for Pierce Co in WRIA 12, but want to see this reflected in the memo (is represented in the workflow). </w:t>
      </w:r>
    </w:p>
    <w:p w14:paraId="3D95A1F3" w14:textId="4E9788CE" w:rsidR="008B7AC0" w:rsidRPr="00965F0F" w:rsidRDefault="008B7AC0" w:rsidP="00013AE4">
      <w:pPr>
        <w:pStyle w:val="Normal1style"/>
        <w:numPr>
          <w:ilvl w:val="0"/>
          <w:numId w:val="28"/>
        </w:numPr>
        <w:tabs>
          <w:tab w:val="left" w:pos="6120"/>
        </w:tabs>
        <w:spacing w:before="120"/>
        <w:rPr>
          <w:rFonts w:asciiTheme="minorHAnsi" w:hAnsiTheme="minorHAnsi" w:cstheme="minorHAnsi"/>
          <w:bCs/>
        </w:rPr>
      </w:pPr>
      <w:r w:rsidRPr="00965F0F">
        <w:rPr>
          <w:rFonts w:asciiTheme="minorHAnsi" w:hAnsiTheme="minorHAnsi" w:cstheme="minorHAnsi"/>
          <w:bCs/>
        </w:rPr>
        <w:lastRenderedPageBreak/>
        <w:t xml:space="preserve">Forested lands are technically developable, but usually don’t see much development in those areas. Concern than inclusion could water down the heat map (likely not huge issue for WRIA 15 but is for other Pierce Co WRIAs).  We are likely to see more development in the fringe areas. </w:t>
      </w:r>
      <w:r w:rsidR="00773262" w:rsidRPr="00965F0F">
        <w:rPr>
          <w:rFonts w:asciiTheme="minorHAnsi" w:hAnsiTheme="minorHAnsi" w:cstheme="minorHAnsi"/>
          <w:bCs/>
        </w:rPr>
        <w:t xml:space="preserve"> The reallocation will not impact the projected number of new wells, but does impact how we represent growth on the map and therefore where we might consider projects.</w:t>
      </w:r>
    </w:p>
    <w:p w14:paraId="20B15F15" w14:textId="41D525BE" w:rsidR="00773262" w:rsidRPr="00965F0F" w:rsidRDefault="00773262" w:rsidP="005256C3">
      <w:pPr>
        <w:pStyle w:val="Normal1style"/>
        <w:numPr>
          <w:ilvl w:val="0"/>
          <w:numId w:val="28"/>
        </w:numPr>
        <w:tabs>
          <w:tab w:val="left" w:pos="6120"/>
        </w:tabs>
        <w:spacing w:before="120"/>
        <w:rPr>
          <w:rFonts w:asciiTheme="minorHAnsi" w:hAnsiTheme="minorHAnsi" w:cstheme="minorHAnsi"/>
          <w:bCs/>
        </w:rPr>
      </w:pPr>
      <w:r w:rsidRPr="00965F0F">
        <w:rPr>
          <w:rFonts w:asciiTheme="minorHAnsi" w:hAnsiTheme="minorHAnsi" w:cstheme="minorHAnsi"/>
          <w:bCs/>
        </w:rPr>
        <w:t>HDR should review the maps and table for the south sound portion of Mason Co as anticipate some of this should be covered under Hood Canal region. There is a map labeling error</w:t>
      </w:r>
      <w:r w:rsidR="004878D7">
        <w:rPr>
          <w:rFonts w:asciiTheme="minorHAnsi" w:hAnsiTheme="minorHAnsi" w:cstheme="minorHAnsi"/>
          <w:bCs/>
        </w:rPr>
        <w:t xml:space="preserve"> (SS instead of HC)</w:t>
      </w:r>
      <w:r w:rsidRPr="00965F0F">
        <w:rPr>
          <w:rFonts w:asciiTheme="minorHAnsi" w:hAnsiTheme="minorHAnsi" w:cstheme="minorHAnsi"/>
          <w:bCs/>
        </w:rPr>
        <w:t xml:space="preserve"> that HDR will fix. Mason Co will also review the data.</w:t>
      </w:r>
    </w:p>
    <w:p w14:paraId="4D430328" w14:textId="0F28F0DD" w:rsidR="00DC0CB3" w:rsidRPr="00965F0F" w:rsidRDefault="00524C5D" w:rsidP="005256C3">
      <w:pPr>
        <w:pStyle w:val="Normal1style"/>
        <w:numPr>
          <w:ilvl w:val="0"/>
          <w:numId w:val="28"/>
        </w:numPr>
        <w:tabs>
          <w:tab w:val="left" w:pos="6120"/>
        </w:tabs>
        <w:spacing w:before="120"/>
        <w:rPr>
          <w:rFonts w:asciiTheme="minorHAnsi" w:hAnsiTheme="minorHAnsi" w:cstheme="minorHAnsi"/>
          <w:bCs/>
        </w:rPr>
      </w:pPr>
      <w:r w:rsidRPr="00965F0F">
        <w:rPr>
          <w:rFonts w:asciiTheme="minorHAnsi" w:hAnsiTheme="minorHAnsi" w:cstheme="minorHAnsi"/>
        </w:rPr>
        <w:t xml:space="preserve">Kitsap County used 200-ft from water mains.  KPUD has an "obligation" to serve any parcel within 1/4-mile of a 4-inch-diameter or greater water main.  </w:t>
      </w:r>
      <w:r w:rsidR="00773262" w:rsidRPr="00965F0F">
        <w:rPr>
          <w:rFonts w:asciiTheme="minorHAnsi" w:hAnsiTheme="minorHAnsi" w:cstheme="minorHAnsi"/>
        </w:rPr>
        <w:t xml:space="preserve">KPUD </w:t>
      </w:r>
      <w:r w:rsidRPr="00965F0F">
        <w:rPr>
          <w:rFonts w:asciiTheme="minorHAnsi" w:hAnsiTheme="minorHAnsi" w:cstheme="minorHAnsi"/>
        </w:rPr>
        <w:t xml:space="preserve">would be curious to see a scenario of changing that to </w:t>
      </w:r>
      <w:r w:rsidR="00773262" w:rsidRPr="00965F0F">
        <w:rPr>
          <w:rFonts w:asciiTheme="minorHAnsi" w:hAnsiTheme="minorHAnsi" w:cstheme="minorHAnsi"/>
        </w:rPr>
        <w:t>~</w:t>
      </w:r>
      <w:r w:rsidRPr="00965F0F">
        <w:rPr>
          <w:rFonts w:asciiTheme="minorHAnsi" w:hAnsiTheme="minorHAnsi" w:cstheme="minorHAnsi"/>
        </w:rPr>
        <w:t xml:space="preserve"> 1,000 ft and see how that changes the estimate for Kitsap County, which is projected to have ~233 PEW/year.</w:t>
      </w:r>
      <w:r w:rsidR="00AE106B">
        <w:rPr>
          <w:rFonts w:asciiTheme="minorHAnsi" w:hAnsiTheme="minorHAnsi" w:cstheme="minorHAnsi"/>
        </w:rPr>
        <w:t xml:space="preserve"> [note – should HDR change the scenario to 1320 feet instead of 200??]</w:t>
      </w:r>
    </w:p>
    <w:p w14:paraId="697BCC51" w14:textId="536A2A2E" w:rsidR="00773262" w:rsidRPr="00965F0F" w:rsidRDefault="00773262" w:rsidP="005256C3">
      <w:pPr>
        <w:pStyle w:val="Normal1style"/>
        <w:numPr>
          <w:ilvl w:val="0"/>
          <w:numId w:val="28"/>
        </w:numPr>
        <w:tabs>
          <w:tab w:val="left" w:pos="6120"/>
        </w:tabs>
        <w:spacing w:before="120"/>
        <w:rPr>
          <w:rFonts w:asciiTheme="minorHAnsi" w:hAnsiTheme="minorHAnsi" w:cstheme="minorHAnsi"/>
          <w:bCs/>
        </w:rPr>
      </w:pPr>
      <w:r w:rsidRPr="00965F0F">
        <w:rPr>
          <w:rFonts w:asciiTheme="minorHAnsi" w:hAnsiTheme="minorHAnsi" w:cstheme="minorHAnsi"/>
        </w:rPr>
        <w:t>Squaxin Island Tribe is interested in walking through the growth projection summary tables and heat maps in detail. Stacy will see who is interested in having another meeting to walk through with the HDR analyst.</w:t>
      </w:r>
    </w:p>
    <w:p w14:paraId="2AE10FC3" w14:textId="76D431C8" w:rsidR="00773262" w:rsidRPr="00965F0F" w:rsidRDefault="00773262" w:rsidP="005256C3">
      <w:pPr>
        <w:pStyle w:val="Normal1style"/>
        <w:numPr>
          <w:ilvl w:val="0"/>
          <w:numId w:val="28"/>
        </w:numPr>
        <w:tabs>
          <w:tab w:val="left" w:pos="6120"/>
        </w:tabs>
        <w:spacing w:before="120"/>
        <w:rPr>
          <w:rFonts w:asciiTheme="minorHAnsi" w:hAnsiTheme="minorHAnsi" w:cstheme="minorHAnsi"/>
          <w:bCs/>
        </w:rPr>
      </w:pPr>
      <w:r w:rsidRPr="00965F0F">
        <w:rPr>
          <w:rFonts w:asciiTheme="minorHAnsi" w:hAnsiTheme="minorHAnsi" w:cstheme="minorHAnsi"/>
        </w:rPr>
        <w:t>Interest in higher spatial resolu</w:t>
      </w:r>
      <w:r w:rsidR="00F41585" w:rsidRPr="00965F0F">
        <w:rPr>
          <w:rFonts w:asciiTheme="minorHAnsi" w:hAnsiTheme="minorHAnsi" w:cstheme="minorHAnsi"/>
        </w:rPr>
        <w:t>tion for the heat maps. Their i</w:t>
      </w:r>
      <w:r w:rsidRPr="00965F0F">
        <w:rPr>
          <w:rFonts w:asciiTheme="minorHAnsi" w:hAnsiTheme="minorHAnsi" w:cstheme="minorHAnsi"/>
        </w:rPr>
        <w:t>ntent is to get a better understanding of the distribution of projected growth within each region to support the subbasin discussion. HDR will defer to the counties to help with the heat map and develop the data behind them. Need to avoid parcel scale projected growth data, but HDR can look at spatial scale that show potential impact to salmon streams.</w:t>
      </w:r>
      <w:r w:rsidR="00F41585" w:rsidRPr="00965F0F">
        <w:rPr>
          <w:rFonts w:asciiTheme="minorHAnsi" w:hAnsiTheme="minorHAnsi" w:cstheme="minorHAnsi"/>
        </w:rPr>
        <w:t xml:space="preserve"> Note that the workgroup and committee will consider further delineation of subbasins once we have growth projections and project ideas.</w:t>
      </w:r>
    </w:p>
    <w:p w14:paraId="4D70D755" w14:textId="2915CAC2" w:rsidR="00F41585" w:rsidRPr="00965F0F" w:rsidRDefault="00F41585" w:rsidP="005256C3">
      <w:pPr>
        <w:pStyle w:val="Normal1style"/>
        <w:numPr>
          <w:ilvl w:val="0"/>
          <w:numId w:val="28"/>
        </w:numPr>
        <w:tabs>
          <w:tab w:val="left" w:pos="6120"/>
        </w:tabs>
        <w:spacing w:before="120"/>
        <w:rPr>
          <w:rFonts w:asciiTheme="minorHAnsi" w:hAnsiTheme="minorHAnsi" w:cstheme="minorHAnsi"/>
          <w:bCs/>
        </w:rPr>
      </w:pPr>
      <w:r w:rsidRPr="00965F0F">
        <w:rPr>
          <w:rFonts w:asciiTheme="minorHAnsi" w:hAnsiTheme="minorHAnsi" w:cstheme="minorHAnsi"/>
        </w:rPr>
        <w:t>HDR will move the heat</w:t>
      </w:r>
      <w:r w:rsidR="004878D7">
        <w:rPr>
          <w:rFonts w:asciiTheme="minorHAnsi" w:hAnsiTheme="minorHAnsi" w:cstheme="minorHAnsi"/>
        </w:rPr>
        <w:t xml:space="preserve"> </w:t>
      </w:r>
      <w:r w:rsidRPr="00965F0F">
        <w:rPr>
          <w:rFonts w:asciiTheme="minorHAnsi" w:hAnsiTheme="minorHAnsi" w:cstheme="minorHAnsi"/>
        </w:rPr>
        <w:t>maps into the WRIA (not by county) once all data is available.</w:t>
      </w:r>
    </w:p>
    <w:p w14:paraId="5AA9E566" w14:textId="1BBBC8BB" w:rsidR="00F41585" w:rsidRPr="00965F0F" w:rsidRDefault="00F41585" w:rsidP="005256C3">
      <w:pPr>
        <w:pStyle w:val="Normal1style"/>
        <w:numPr>
          <w:ilvl w:val="0"/>
          <w:numId w:val="28"/>
        </w:numPr>
        <w:tabs>
          <w:tab w:val="left" w:pos="6120"/>
        </w:tabs>
        <w:spacing w:before="120"/>
        <w:rPr>
          <w:rFonts w:asciiTheme="minorHAnsi" w:hAnsiTheme="minorHAnsi" w:cstheme="minorHAnsi"/>
          <w:bCs/>
        </w:rPr>
      </w:pPr>
      <w:r w:rsidRPr="00965F0F">
        <w:rPr>
          <w:rFonts w:asciiTheme="minorHAnsi" w:hAnsiTheme="minorHAnsi" w:cstheme="minorHAnsi"/>
        </w:rPr>
        <w:t>Pierce Co is interested in seeing another period of growth.</w:t>
      </w:r>
    </w:p>
    <w:p w14:paraId="0E1067DC" w14:textId="04ED582A" w:rsidR="00F41585" w:rsidRPr="00965F0F" w:rsidRDefault="00F41585" w:rsidP="00F41585">
      <w:pPr>
        <w:pStyle w:val="Normal1style"/>
        <w:tabs>
          <w:tab w:val="left" w:pos="6120"/>
        </w:tabs>
        <w:spacing w:before="120"/>
        <w:rPr>
          <w:rFonts w:asciiTheme="minorHAnsi" w:hAnsiTheme="minorHAnsi" w:cstheme="minorHAnsi"/>
        </w:rPr>
      </w:pPr>
    </w:p>
    <w:p w14:paraId="205C026D" w14:textId="2B49DE86" w:rsidR="00F41585" w:rsidRPr="00965F0F" w:rsidRDefault="00F41585" w:rsidP="00F41585">
      <w:pPr>
        <w:pStyle w:val="Normal1style"/>
        <w:tabs>
          <w:tab w:val="left" w:pos="6120"/>
        </w:tabs>
        <w:spacing w:before="120"/>
        <w:rPr>
          <w:rFonts w:asciiTheme="minorHAnsi" w:hAnsiTheme="minorHAnsi" w:cstheme="minorHAnsi"/>
        </w:rPr>
      </w:pPr>
      <w:r w:rsidRPr="00965F0F">
        <w:rPr>
          <w:rFonts w:asciiTheme="minorHAnsi" w:hAnsiTheme="minorHAnsi" w:cstheme="minorHAnsi"/>
        </w:rPr>
        <w:t>Chad shared that a memo is in development that will outline potential growth projection scenarios. If we define scenarios for WRIA 15 growth, we need to consider the changes that would occur across the counties and the implications to the WRIA if we make a change in one of the counties. Some initial potential options for scenarios by county include:</w:t>
      </w:r>
    </w:p>
    <w:p w14:paraId="4BEA72BA" w14:textId="40E5FEE9" w:rsidR="00F41585" w:rsidRPr="00965F0F" w:rsidRDefault="00F41585" w:rsidP="00F41585">
      <w:pPr>
        <w:pStyle w:val="Normal1style"/>
        <w:numPr>
          <w:ilvl w:val="0"/>
          <w:numId w:val="29"/>
        </w:numPr>
        <w:tabs>
          <w:tab w:val="left" w:pos="6120"/>
        </w:tabs>
        <w:spacing w:before="120"/>
        <w:rPr>
          <w:rFonts w:asciiTheme="minorHAnsi" w:hAnsiTheme="minorHAnsi" w:cstheme="minorHAnsi"/>
          <w:bCs/>
        </w:rPr>
      </w:pPr>
      <w:r w:rsidRPr="00965F0F">
        <w:rPr>
          <w:rFonts w:asciiTheme="minorHAnsi" w:hAnsiTheme="minorHAnsi" w:cstheme="minorHAnsi"/>
        </w:rPr>
        <w:t>Kitsap- change the OFM population estimates, broader historical date range, spatial allocation based on historical well growth.</w:t>
      </w:r>
    </w:p>
    <w:p w14:paraId="57F88D94" w14:textId="2570F0CC" w:rsidR="00F41585" w:rsidRPr="00965F0F" w:rsidRDefault="00F41585" w:rsidP="00F41585">
      <w:pPr>
        <w:pStyle w:val="Normal1style"/>
        <w:numPr>
          <w:ilvl w:val="0"/>
          <w:numId w:val="29"/>
        </w:numPr>
        <w:tabs>
          <w:tab w:val="left" w:pos="6120"/>
        </w:tabs>
        <w:spacing w:before="120"/>
        <w:rPr>
          <w:rFonts w:asciiTheme="minorHAnsi" w:hAnsiTheme="minorHAnsi" w:cstheme="minorHAnsi"/>
          <w:bCs/>
        </w:rPr>
      </w:pPr>
      <w:r w:rsidRPr="00965F0F">
        <w:rPr>
          <w:rFonts w:asciiTheme="minorHAnsi" w:hAnsiTheme="minorHAnsi" w:cstheme="minorHAnsi"/>
        </w:rPr>
        <w:t>King – different historical date range, spatial allocation based on proportion of build out (in process).</w:t>
      </w:r>
    </w:p>
    <w:p w14:paraId="17EBB1C2" w14:textId="441D6468" w:rsidR="00F41585" w:rsidRPr="00965F0F" w:rsidRDefault="00F41585" w:rsidP="00F41585">
      <w:pPr>
        <w:pStyle w:val="Normal1style"/>
        <w:numPr>
          <w:ilvl w:val="0"/>
          <w:numId w:val="29"/>
        </w:numPr>
        <w:tabs>
          <w:tab w:val="left" w:pos="6120"/>
        </w:tabs>
        <w:spacing w:before="120"/>
        <w:rPr>
          <w:rFonts w:asciiTheme="minorHAnsi" w:hAnsiTheme="minorHAnsi" w:cstheme="minorHAnsi"/>
          <w:bCs/>
        </w:rPr>
      </w:pPr>
      <w:r w:rsidRPr="00965F0F">
        <w:rPr>
          <w:rFonts w:asciiTheme="minorHAnsi" w:hAnsiTheme="minorHAnsi" w:cstheme="minorHAnsi"/>
        </w:rPr>
        <w:t>Mason- change the OFM population estimates (but departs from the comprehensive plan), spatial allocation based on historical growth, adjust assumptions to rely on building permit for well connections.</w:t>
      </w:r>
    </w:p>
    <w:p w14:paraId="36A1D11C" w14:textId="625893B4" w:rsidR="00F41585" w:rsidRPr="00965F0F" w:rsidRDefault="00F41585" w:rsidP="00F41585">
      <w:pPr>
        <w:pStyle w:val="Normal1style"/>
        <w:numPr>
          <w:ilvl w:val="0"/>
          <w:numId w:val="29"/>
        </w:numPr>
        <w:tabs>
          <w:tab w:val="left" w:pos="6120"/>
        </w:tabs>
        <w:spacing w:before="120"/>
        <w:rPr>
          <w:rFonts w:asciiTheme="minorHAnsi" w:hAnsiTheme="minorHAnsi" w:cstheme="minorHAnsi"/>
          <w:bCs/>
        </w:rPr>
      </w:pPr>
      <w:r w:rsidRPr="00965F0F">
        <w:rPr>
          <w:rFonts w:asciiTheme="minorHAnsi" w:hAnsiTheme="minorHAnsi" w:cstheme="minorHAnsi"/>
        </w:rPr>
        <w:t>Pierce- different historical date range, maximum growth year, spatial allocation on proportion of buildout capacity, allow for connections in the water system service areas (difficult).</w:t>
      </w:r>
    </w:p>
    <w:p w14:paraId="2ACB2301" w14:textId="4E0AAF42" w:rsidR="00F41585" w:rsidRPr="00965F0F" w:rsidRDefault="00F41585" w:rsidP="00F41585">
      <w:pPr>
        <w:pStyle w:val="Normal1style"/>
        <w:tabs>
          <w:tab w:val="left" w:pos="6120"/>
        </w:tabs>
        <w:spacing w:before="120"/>
        <w:rPr>
          <w:rFonts w:asciiTheme="minorHAnsi" w:hAnsiTheme="minorHAnsi" w:cstheme="minorHAnsi"/>
          <w:bCs/>
        </w:rPr>
      </w:pPr>
    </w:p>
    <w:p w14:paraId="0AF26546" w14:textId="0D96BE3D" w:rsidR="00F41585" w:rsidRPr="00965F0F" w:rsidRDefault="00F41585" w:rsidP="00F41585">
      <w:pPr>
        <w:pStyle w:val="Normal1style"/>
        <w:tabs>
          <w:tab w:val="left" w:pos="6120"/>
        </w:tabs>
        <w:spacing w:before="120"/>
        <w:rPr>
          <w:rFonts w:asciiTheme="minorHAnsi" w:hAnsiTheme="minorHAnsi" w:cstheme="minorHAnsi"/>
          <w:bCs/>
        </w:rPr>
      </w:pPr>
      <w:r w:rsidRPr="00965F0F">
        <w:rPr>
          <w:rFonts w:asciiTheme="minorHAnsi" w:hAnsiTheme="minorHAnsi" w:cstheme="minorHAnsi"/>
          <w:bCs/>
        </w:rPr>
        <w:t>Discussion</w:t>
      </w:r>
    </w:p>
    <w:p w14:paraId="7B2747F0" w14:textId="2BAD19FF" w:rsidR="00F41585" w:rsidRPr="00965F0F" w:rsidRDefault="00F41585" w:rsidP="00F41585">
      <w:pPr>
        <w:pStyle w:val="Normal1style"/>
        <w:numPr>
          <w:ilvl w:val="0"/>
          <w:numId w:val="29"/>
        </w:numPr>
        <w:tabs>
          <w:tab w:val="left" w:pos="6120"/>
        </w:tabs>
        <w:spacing w:before="120"/>
        <w:rPr>
          <w:rFonts w:asciiTheme="minorHAnsi" w:hAnsiTheme="minorHAnsi" w:cstheme="minorHAnsi"/>
          <w:bCs/>
        </w:rPr>
      </w:pPr>
      <w:r w:rsidRPr="00965F0F">
        <w:rPr>
          <w:rFonts w:asciiTheme="minorHAnsi" w:hAnsiTheme="minorHAnsi" w:cstheme="minorHAnsi"/>
        </w:rPr>
        <w:t>We need to consider that it could be complicated if we have different changes by county for the 4 counties in WRIA 15.</w:t>
      </w:r>
    </w:p>
    <w:p w14:paraId="75F74AF2" w14:textId="7CB6D021" w:rsidR="00F41585" w:rsidRPr="00965F0F" w:rsidRDefault="00F41585" w:rsidP="00F41585">
      <w:pPr>
        <w:pStyle w:val="Normal1style"/>
        <w:numPr>
          <w:ilvl w:val="0"/>
          <w:numId w:val="29"/>
        </w:numPr>
        <w:tabs>
          <w:tab w:val="left" w:pos="6120"/>
        </w:tabs>
        <w:spacing w:before="120"/>
        <w:rPr>
          <w:rFonts w:asciiTheme="minorHAnsi" w:hAnsiTheme="minorHAnsi" w:cstheme="minorHAnsi"/>
          <w:bCs/>
        </w:rPr>
      </w:pPr>
      <w:r w:rsidRPr="00965F0F">
        <w:rPr>
          <w:rFonts w:asciiTheme="minorHAnsi" w:hAnsiTheme="minorHAnsi" w:cstheme="minorHAnsi"/>
        </w:rPr>
        <w:t>We may want to consider applying overall percentage of growth for uncertainty or safety factor; or wait and apply at the consumptive use stage.</w:t>
      </w:r>
    </w:p>
    <w:p w14:paraId="0C5B753B" w14:textId="7607F9A2" w:rsidR="00F41585" w:rsidRDefault="00F41585" w:rsidP="00F41585">
      <w:pPr>
        <w:pStyle w:val="Normal1style"/>
        <w:numPr>
          <w:ilvl w:val="0"/>
          <w:numId w:val="29"/>
        </w:numPr>
        <w:tabs>
          <w:tab w:val="left" w:pos="6120"/>
        </w:tabs>
        <w:spacing w:before="120"/>
        <w:rPr>
          <w:rFonts w:asciiTheme="minorHAnsi" w:hAnsiTheme="minorHAnsi" w:cstheme="minorHAnsi"/>
          <w:bCs/>
          <w:color w:val="000000" w:themeColor="text1"/>
        </w:rPr>
      </w:pPr>
      <w:r w:rsidRPr="00965F0F">
        <w:rPr>
          <w:rFonts w:asciiTheme="minorHAnsi" w:hAnsiTheme="minorHAnsi" w:cstheme="minorHAnsi"/>
          <w:bCs/>
        </w:rPr>
        <w:t xml:space="preserve">Squaxin Island Tribe provided a spreadsheet on assumptions </w:t>
      </w:r>
      <w:r w:rsidRPr="00965F0F">
        <w:rPr>
          <w:rFonts w:asciiTheme="minorHAnsi" w:hAnsiTheme="minorHAnsi" w:cstheme="minorHAnsi"/>
          <w:bCs/>
          <w:color w:val="000000" w:themeColor="text1"/>
        </w:rPr>
        <w:t xml:space="preserve">and buffers and would like feedback from the counties and HDR. They would like to run some scenarios to plug in some conservative options so we can have a basis for the </w:t>
      </w:r>
      <w:r w:rsidR="004878D7" w:rsidRPr="00965F0F">
        <w:rPr>
          <w:rFonts w:asciiTheme="minorHAnsi" w:hAnsiTheme="minorHAnsi" w:cstheme="minorHAnsi"/>
          <w:bCs/>
          <w:color w:val="000000" w:themeColor="text1"/>
        </w:rPr>
        <w:t>uncertainty</w:t>
      </w:r>
      <w:r w:rsidRPr="00965F0F">
        <w:rPr>
          <w:rFonts w:asciiTheme="minorHAnsi" w:hAnsiTheme="minorHAnsi" w:cstheme="minorHAnsi"/>
          <w:bCs/>
          <w:color w:val="000000" w:themeColor="text1"/>
        </w:rPr>
        <w:t xml:space="preserve"> or safety factor that we apply.</w:t>
      </w:r>
    </w:p>
    <w:p w14:paraId="2B00B9CF" w14:textId="56B7978E" w:rsidR="00CE28B1" w:rsidRPr="00965F0F" w:rsidRDefault="00CE28B1" w:rsidP="00F41585">
      <w:pPr>
        <w:pStyle w:val="Normal1style"/>
        <w:numPr>
          <w:ilvl w:val="0"/>
          <w:numId w:val="29"/>
        </w:numPr>
        <w:tabs>
          <w:tab w:val="left" w:pos="6120"/>
        </w:tabs>
        <w:spacing w:before="120"/>
        <w:rPr>
          <w:rFonts w:asciiTheme="minorHAnsi" w:hAnsiTheme="minorHAnsi" w:cstheme="minorHAnsi"/>
          <w:bCs/>
          <w:color w:val="000000" w:themeColor="text1"/>
        </w:rPr>
      </w:pPr>
      <w:r>
        <w:rPr>
          <w:rFonts w:asciiTheme="minorHAnsi" w:hAnsiTheme="minorHAnsi" w:cstheme="minorHAnsi"/>
          <w:bCs/>
        </w:rPr>
        <w:t xml:space="preserve">The committee should consider the added value of various growth scenarios at this stage.  The committee may want to consider a standard safety buffer on the growth projections and/or waiting to define additional scenarios until after we have focused on consumptive use. </w:t>
      </w:r>
    </w:p>
    <w:p w14:paraId="4AFCFE2B" w14:textId="66AF8758" w:rsidR="00F41585" w:rsidRPr="00965F0F" w:rsidRDefault="00F41585" w:rsidP="00F41585">
      <w:pPr>
        <w:pStyle w:val="Normal1style"/>
        <w:tabs>
          <w:tab w:val="left" w:pos="6120"/>
        </w:tabs>
        <w:spacing w:before="120"/>
        <w:rPr>
          <w:rFonts w:asciiTheme="minorHAnsi" w:hAnsiTheme="minorHAnsi" w:cstheme="minorHAnsi"/>
          <w:color w:val="1F497D"/>
        </w:rPr>
      </w:pPr>
    </w:p>
    <w:p w14:paraId="10E48BD1" w14:textId="77777777" w:rsidR="005B2F47" w:rsidRPr="00965F0F" w:rsidRDefault="005B2F47" w:rsidP="005B2F47">
      <w:pPr>
        <w:pStyle w:val="Heading1"/>
        <w:rPr>
          <w:rFonts w:asciiTheme="minorHAnsi" w:hAnsiTheme="minorHAnsi" w:cstheme="minorHAnsi"/>
          <w:sz w:val="22"/>
          <w:szCs w:val="22"/>
        </w:rPr>
      </w:pPr>
      <w:r w:rsidRPr="00965F0F">
        <w:rPr>
          <w:rFonts w:asciiTheme="minorHAnsi" w:hAnsiTheme="minorHAnsi" w:cstheme="minorHAnsi"/>
          <w:sz w:val="22"/>
          <w:szCs w:val="22"/>
        </w:rPr>
        <w:lastRenderedPageBreak/>
        <w:t>Consumptive Use Estimates</w:t>
      </w:r>
    </w:p>
    <w:p w14:paraId="521D472C" w14:textId="38A810FA" w:rsidR="00B53CC3" w:rsidRPr="00965F0F" w:rsidRDefault="00F41585" w:rsidP="00B53CC3">
      <w:pPr>
        <w:pStyle w:val="Normal1style"/>
        <w:tabs>
          <w:tab w:val="left" w:pos="6120"/>
        </w:tabs>
        <w:spacing w:before="120"/>
        <w:rPr>
          <w:rFonts w:asciiTheme="minorHAnsi" w:hAnsiTheme="minorHAnsi" w:cstheme="minorHAnsi"/>
          <w:bCs/>
          <w:color w:val="000000" w:themeColor="text1"/>
        </w:rPr>
      </w:pPr>
      <w:r w:rsidRPr="00965F0F">
        <w:rPr>
          <w:rFonts w:asciiTheme="minorHAnsi" w:hAnsiTheme="minorHAnsi" w:cstheme="minorHAnsi"/>
          <w:bCs/>
          <w:color w:val="000000" w:themeColor="text1"/>
        </w:rPr>
        <w:t xml:space="preserve">Dan Graves walked </w:t>
      </w:r>
      <w:r w:rsidR="004878D7" w:rsidRPr="00965F0F">
        <w:rPr>
          <w:rFonts w:asciiTheme="minorHAnsi" w:hAnsiTheme="minorHAnsi" w:cstheme="minorHAnsi"/>
          <w:bCs/>
          <w:color w:val="000000" w:themeColor="text1"/>
        </w:rPr>
        <w:t>through</w:t>
      </w:r>
      <w:r w:rsidRPr="00965F0F">
        <w:rPr>
          <w:rFonts w:asciiTheme="minorHAnsi" w:hAnsiTheme="minorHAnsi" w:cstheme="minorHAnsi"/>
          <w:bCs/>
          <w:color w:val="000000" w:themeColor="text1"/>
        </w:rPr>
        <w:t xml:space="preserve"> the process for indoor and outdoor water use.</w:t>
      </w:r>
      <w:r w:rsidR="00AD1ABD" w:rsidRPr="00965F0F">
        <w:rPr>
          <w:rFonts w:asciiTheme="minorHAnsi" w:hAnsiTheme="minorHAnsi" w:cstheme="minorHAnsi"/>
          <w:bCs/>
          <w:color w:val="000000" w:themeColor="text1"/>
        </w:rPr>
        <w:t xml:space="preserve"> The Committee has Ecology’s guidance (NEB Guidance Appendix A) as a starting point for the approach, but we can apply other numbers if justified. For instance</w:t>
      </w:r>
      <w:r w:rsidR="00BD6DC4">
        <w:rPr>
          <w:rFonts w:asciiTheme="minorHAnsi" w:hAnsiTheme="minorHAnsi" w:cstheme="minorHAnsi"/>
          <w:bCs/>
          <w:color w:val="000000" w:themeColor="text1"/>
        </w:rPr>
        <w:t>,</w:t>
      </w:r>
      <w:r w:rsidR="00AD1ABD" w:rsidRPr="00965F0F">
        <w:rPr>
          <w:rFonts w:asciiTheme="minorHAnsi" w:hAnsiTheme="minorHAnsi" w:cstheme="minorHAnsi"/>
          <w:bCs/>
          <w:color w:val="000000" w:themeColor="text1"/>
        </w:rPr>
        <w:t xml:space="preserve"> the guidance recommends an indoor water use of 60</w:t>
      </w:r>
      <w:r w:rsidR="00BD6DC4">
        <w:rPr>
          <w:rFonts w:asciiTheme="minorHAnsi" w:hAnsiTheme="minorHAnsi" w:cstheme="minorHAnsi"/>
          <w:bCs/>
          <w:color w:val="000000" w:themeColor="text1"/>
        </w:rPr>
        <w:t xml:space="preserve"> </w:t>
      </w:r>
      <w:r w:rsidR="00AD1ABD" w:rsidRPr="00965F0F">
        <w:rPr>
          <w:rFonts w:asciiTheme="minorHAnsi" w:hAnsiTheme="minorHAnsi" w:cstheme="minorHAnsi"/>
          <w:bCs/>
          <w:color w:val="000000" w:themeColor="text1"/>
        </w:rPr>
        <w:t>gpd per person while the USGS Kitsap Model uses 66</w:t>
      </w:r>
      <w:r w:rsidR="00BD6DC4">
        <w:rPr>
          <w:rFonts w:asciiTheme="minorHAnsi" w:hAnsiTheme="minorHAnsi" w:cstheme="minorHAnsi"/>
          <w:bCs/>
          <w:color w:val="000000" w:themeColor="text1"/>
        </w:rPr>
        <w:t xml:space="preserve"> </w:t>
      </w:r>
      <w:r w:rsidR="00AD1ABD" w:rsidRPr="00965F0F">
        <w:rPr>
          <w:rFonts w:asciiTheme="minorHAnsi" w:hAnsiTheme="minorHAnsi" w:cstheme="minorHAnsi"/>
          <w:bCs/>
          <w:color w:val="000000" w:themeColor="text1"/>
        </w:rPr>
        <w:t>gpd. Once we know how much water is used, we apply the consumptive use calculation. For outdoor lawn size we use the Washington Irrigation Guide and requirements to understand how much watering is needed for lawns. We can consider the metered data to calculate outdoor use if that is more appropriate.</w:t>
      </w:r>
    </w:p>
    <w:p w14:paraId="54E8C042" w14:textId="0024822A" w:rsidR="00AD1ABD" w:rsidRPr="00965F0F" w:rsidRDefault="00AD1ABD" w:rsidP="00B53CC3">
      <w:pPr>
        <w:pStyle w:val="Normal1style"/>
        <w:tabs>
          <w:tab w:val="left" w:pos="6120"/>
        </w:tabs>
        <w:spacing w:before="120"/>
        <w:rPr>
          <w:rFonts w:asciiTheme="minorHAnsi" w:hAnsiTheme="minorHAnsi" w:cstheme="minorHAnsi"/>
          <w:bCs/>
          <w:color w:val="000000" w:themeColor="text1"/>
        </w:rPr>
      </w:pPr>
    </w:p>
    <w:p w14:paraId="13A2451A" w14:textId="534CFD9C" w:rsidR="00AD1ABD" w:rsidRPr="00965F0F" w:rsidRDefault="00AD1ABD" w:rsidP="00B53CC3">
      <w:pPr>
        <w:pStyle w:val="Normal1style"/>
        <w:tabs>
          <w:tab w:val="left" w:pos="6120"/>
        </w:tabs>
        <w:spacing w:before="120"/>
        <w:rPr>
          <w:rFonts w:asciiTheme="minorHAnsi" w:hAnsiTheme="minorHAnsi" w:cstheme="minorHAnsi"/>
          <w:bCs/>
          <w:color w:val="000000" w:themeColor="text1"/>
        </w:rPr>
      </w:pPr>
      <w:r w:rsidRPr="00965F0F">
        <w:rPr>
          <w:rFonts w:asciiTheme="minorHAnsi" w:hAnsiTheme="minorHAnsi" w:cstheme="minorHAnsi"/>
          <w:bCs/>
          <w:color w:val="000000" w:themeColor="text1"/>
        </w:rPr>
        <w:t>There are two types of metered data: 1) data on typical water system that bills based on water use; 2) flat rate billing process. Metered data for systems on flat rate</w:t>
      </w:r>
      <w:r w:rsidR="00BD6DC4">
        <w:rPr>
          <w:rFonts w:asciiTheme="minorHAnsi" w:hAnsiTheme="minorHAnsi" w:cstheme="minorHAnsi"/>
          <w:bCs/>
          <w:color w:val="000000" w:themeColor="text1"/>
        </w:rPr>
        <w:t>s</w:t>
      </w:r>
      <w:r w:rsidRPr="00965F0F">
        <w:rPr>
          <w:rFonts w:asciiTheme="minorHAnsi" w:hAnsiTheme="minorHAnsi" w:cstheme="minorHAnsi"/>
          <w:bCs/>
          <w:color w:val="000000" w:themeColor="text1"/>
        </w:rPr>
        <w:t xml:space="preserve"> is likely more representative of the permit exempt well use as these users are not paying by volume (but be cautious as they are paying pumping costs). Rate structure</w:t>
      </w:r>
      <w:r w:rsidR="00BD6DC4">
        <w:rPr>
          <w:rFonts w:asciiTheme="minorHAnsi" w:hAnsiTheme="minorHAnsi" w:cstheme="minorHAnsi"/>
          <w:bCs/>
          <w:color w:val="000000" w:themeColor="text1"/>
        </w:rPr>
        <w:t>s</w:t>
      </w:r>
      <w:r w:rsidRPr="00965F0F">
        <w:rPr>
          <w:rFonts w:asciiTheme="minorHAnsi" w:hAnsiTheme="minorHAnsi" w:cstheme="minorHAnsi"/>
          <w:bCs/>
          <w:color w:val="000000" w:themeColor="text1"/>
        </w:rPr>
        <w:t xml:space="preserve"> can lead to incentives for conservation. We will need to see what data we can get. Tiered bill data will also be useful for consideration on average water use. HDR is working with public health, water system providers and counties to get various data to loo</w:t>
      </w:r>
      <w:bookmarkStart w:id="0" w:name="_GoBack"/>
      <w:bookmarkEnd w:id="0"/>
      <w:r w:rsidRPr="00965F0F">
        <w:rPr>
          <w:rFonts w:asciiTheme="minorHAnsi" w:hAnsiTheme="minorHAnsi" w:cstheme="minorHAnsi"/>
          <w:bCs/>
          <w:color w:val="000000" w:themeColor="text1"/>
        </w:rPr>
        <w:t>k at average use. They are looking for systems that bill by volume, but previously didn’t t</w:t>
      </w:r>
      <w:r w:rsidR="00B444C8">
        <w:rPr>
          <w:rFonts w:asciiTheme="minorHAnsi" w:hAnsiTheme="minorHAnsi" w:cstheme="minorHAnsi"/>
          <w:bCs/>
          <w:color w:val="000000" w:themeColor="text1"/>
        </w:rPr>
        <w:t>o see how water use changed and to</w:t>
      </w:r>
      <w:r w:rsidRPr="00965F0F">
        <w:rPr>
          <w:rFonts w:asciiTheme="minorHAnsi" w:hAnsiTheme="minorHAnsi" w:cstheme="minorHAnsi"/>
          <w:bCs/>
          <w:color w:val="000000" w:themeColor="text1"/>
        </w:rPr>
        <w:t xml:space="preserve"> develop a correction factor. HDR is starting this work this week. HDR is interested in getting recommendations for water systems that they can reach out to.</w:t>
      </w:r>
    </w:p>
    <w:p w14:paraId="0AB26782" w14:textId="7248CBD0" w:rsidR="00F41585" w:rsidRPr="00965F0F" w:rsidRDefault="00F41585" w:rsidP="00B53CC3">
      <w:pPr>
        <w:pStyle w:val="Normal1style"/>
        <w:tabs>
          <w:tab w:val="left" w:pos="6120"/>
        </w:tabs>
        <w:spacing w:before="120"/>
        <w:rPr>
          <w:rFonts w:asciiTheme="minorHAnsi" w:hAnsiTheme="minorHAnsi" w:cstheme="minorHAnsi"/>
          <w:bCs/>
          <w:color w:val="000000" w:themeColor="text1"/>
        </w:rPr>
      </w:pPr>
    </w:p>
    <w:p w14:paraId="6DBFD808" w14:textId="7771F049" w:rsidR="00AD1ABD" w:rsidRPr="00965F0F" w:rsidRDefault="00AD1ABD" w:rsidP="00B53CC3">
      <w:pPr>
        <w:pStyle w:val="Normal1style"/>
        <w:tabs>
          <w:tab w:val="left" w:pos="6120"/>
        </w:tabs>
        <w:spacing w:before="120"/>
        <w:rPr>
          <w:rFonts w:asciiTheme="minorHAnsi" w:hAnsiTheme="minorHAnsi" w:cstheme="minorHAnsi"/>
          <w:bCs/>
          <w:color w:val="000000" w:themeColor="text1"/>
        </w:rPr>
      </w:pPr>
      <w:r w:rsidRPr="00965F0F">
        <w:rPr>
          <w:rFonts w:asciiTheme="minorHAnsi" w:hAnsiTheme="minorHAnsi" w:cstheme="minorHAnsi"/>
          <w:bCs/>
          <w:color w:val="000000" w:themeColor="text1"/>
        </w:rPr>
        <w:t>Discussion</w:t>
      </w:r>
    </w:p>
    <w:p w14:paraId="57CF8CC6" w14:textId="6CB30A6D" w:rsidR="00B53CC3" w:rsidRPr="00965F0F" w:rsidRDefault="00B53CC3" w:rsidP="00AD1ABD">
      <w:pPr>
        <w:pStyle w:val="Normal1style"/>
        <w:numPr>
          <w:ilvl w:val="0"/>
          <w:numId w:val="30"/>
        </w:numPr>
        <w:tabs>
          <w:tab w:val="left" w:pos="6120"/>
        </w:tabs>
        <w:spacing w:before="120"/>
        <w:rPr>
          <w:rFonts w:asciiTheme="minorHAnsi" w:hAnsiTheme="minorHAnsi" w:cstheme="minorHAnsi"/>
          <w:bCs/>
          <w:color w:val="000000" w:themeColor="text1"/>
        </w:rPr>
      </w:pPr>
      <w:r w:rsidRPr="00965F0F">
        <w:rPr>
          <w:rFonts w:asciiTheme="minorHAnsi" w:hAnsiTheme="minorHAnsi" w:cstheme="minorHAnsi"/>
          <w:bCs/>
          <w:color w:val="000000" w:themeColor="text1"/>
        </w:rPr>
        <w:t>From Mason Co: The EPA has a study for the Seattle area that found indoor water use of 58 gallons per day. We are required to use the 60 gpd in all septic planning.</w:t>
      </w:r>
    </w:p>
    <w:p w14:paraId="0A700500" w14:textId="1B0AF9AD" w:rsidR="004E72B8" w:rsidRDefault="00AD1ABD" w:rsidP="00AD1ABD">
      <w:pPr>
        <w:pStyle w:val="Normal1style"/>
        <w:numPr>
          <w:ilvl w:val="0"/>
          <w:numId w:val="30"/>
        </w:numPr>
        <w:tabs>
          <w:tab w:val="left" w:pos="6120"/>
        </w:tabs>
        <w:spacing w:before="120"/>
        <w:rPr>
          <w:rFonts w:asciiTheme="minorHAnsi" w:hAnsiTheme="minorHAnsi" w:cstheme="minorHAnsi"/>
          <w:bCs/>
          <w:color w:val="000000" w:themeColor="text1"/>
        </w:rPr>
      </w:pPr>
      <w:r w:rsidRPr="00965F0F">
        <w:rPr>
          <w:rFonts w:asciiTheme="minorHAnsi" w:hAnsiTheme="minorHAnsi" w:cstheme="minorHAnsi"/>
          <w:bCs/>
          <w:color w:val="000000" w:themeColor="text1"/>
        </w:rPr>
        <w:t>Kitsap PUD is an</w:t>
      </w:r>
      <w:r w:rsidR="004E72B8" w:rsidRPr="00965F0F">
        <w:rPr>
          <w:rFonts w:asciiTheme="minorHAnsi" w:hAnsiTheme="minorHAnsi" w:cstheme="minorHAnsi"/>
          <w:bCs/>
          <w:color w:val="000000" w:themeColor="text1"/>
        </w:rPr>
        <w:t xml:space="preserve"> advocate for real data and we have data we can compare flat rate fee systems. 66 gpd per person is based on USGS study from 1985-2012. Not just from PUD, from other water purveyors on Kitsap Peninsula </w:t>
      </w:r>
      <w:r w:rsidRPr="00965F0F">
        <w:rPr>
          <w:rFonts w:asciiTheme="minorHAnsi" w:hAnsiTheme="minorHAnsi" w:cstheme="minorHAnsi"/>
          <w:bCs/>
          <w:color w:val="000000" w:themeColor="text1"/>
        </w:rPr>
        <w:t>(Vashon-Maury not included)</w:t>
      </w:r>
      <w:r w:rsidR="004E72B8" w:rsidRPr="00965F0F">
        <w:rPr>
          <w:rFonts w:asciiTheme="minorHAnsi" w:hAnsiTheme="minorHAnsi" w:cstheme="minorHAnsi"/>
          <w:bCs/>
          <w:color w:val="000000" w:themeColor="text1"/>
        </w:rPr>
        <w:t xml:space="preserve">. Skagit Co study found similar </w:t>
      </w:r>
      <w:r w:rsidRPr="00965F0F">
        <w:rPr>
          <w:rFonts w:asciiTheme="minorHAnsi" w:hAnsiTheme="minorHAnsi" w:cstheme="minorHAnsi"/>
          <w:bCs/>
          <w:color w:val="000000" w:themeColor="text1"/>
        </w:rPr>
        <w:t xml:space="preserve">numbers to </w:t>
      </w:r>
      <w:r w:rsidR="004E72B8" w:rsidRPr="00965F0F">
        <w:rPr>
          <w:rFonts w:asciiTheme="minorHAnsi" w:hAnsiTheme="minorHAnsi" w:cstheme="minorHAnsi"/>
          <w:bCs/>
          <w:color w:val="000000" w:themeColor="text1"/>
        </w:rPr>
        <w:t>Kitsap (Joel has documentation of the study and can provide citation to Dan)</w:t>
      </w:r>
      <w:r w:rsidRPr="00965F0F">
        <w:rPr>
          <w:rFonts w:asciiTheme="minorHAnsi" w:hAnsiTheme="minorHAnsi" w:cstheme="minorHAnsi"/>
          <w:bCs/>
          <w:color w:val="000000" w:themeColor="text1"/>
        </w:rPr>
        <w:t>.</w:t>
      </w:r>
    </w:p>
    <w:p w14:paraId="006E0ADD" w14:textId="3A9E2722" w:rsidR="00BD6DC4" w:rsidRPr="00965F0F" w:rsidRDefault="00BD6DC4" w:rsidP="00AD1ABD">
      <w:pPr>
        <w:pStyle w:val="Normal1style"/>
        <w:numPr>
          <w:ilvl w:val="0"/>
          <w:numId w:val="30"/>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Members were cautioned from developing arbitrary scenarios; we need to base our assumptions on solid data.</w:t>
      </w:r>
    </w:p>
    <w:p w14:paraId="294DA9FE" w14:textId="0CFEC55F" w:rsidR="00F8009C" w:rsidRPr="00965F0F" w:rsidRDefault="00AE106B" w:rsidP="001A3F38">
      <w:pPr>
        <w:pStyle w:val="Normal1style"/>
        <w:numPr>
          <w:ilvl w:val="0"/>
          <w:numId w:val="30"/>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KPUD spreadsheets - Billing cycle of 2 months, with billing dates variable so peak water use in summer doesn’t align for all systems.</w:t>
      </w:r>
      <w:r>
        <w:rPr>
          <w:rFonts w:asciiTheme="minorHAnsi" w:hAnsiTheme="minorHAnsi" w:cstheme="minorHAnsi"/>
          <w:bCs/>
          <w:color w:val="000000" w:themeColor="text1"/>
        </w:rPr>
        <w:t xml:space="preserve"> </w:t>
      </w:r>
      <w:r w:rsidR="00F8009C" w:rsidRPr="00965F0F">
        <w:rPr>
          <w:rFonts w:asciiTheme="minorHAnsi" w:hAnsiTheme="minorHAnsi" w:cstheme="minorHAnsi"/>
          <w:bCs/>
          <w:color w:val="000000" w:themeColor="text1"/>
        </w:rPr>
        <w:t>This study is specific to Kitsap Peninsula.</w:t>
      </w:r>
      <w:r w:rsidR="00AD1ABD" w:rsidRPr="00965F0F">
        <w:rPr>
          <w:rFonts w:asciiTheme="minorHAnsi" w:hAnsiTheme="minorHAnsi" w:cstheme="minorHAnsi"/>
          <w:bCs/>
          <w:color w:val="000000" w:themeColor="text1"/>
        </w:rPr>
        <w:t xml:space="preserve"> KPUD</w:t>
      </w:r>
      <w:r w:rsidR="00F8009C" w:rsidRPr="00965F0F">
        <w:rPr>
          <w:rFonts w:asciiTheme="minorHAnsi" w:hAnsiTheme="minorHAnsi" w:cstheme="minorHAnsi"/>
          <w:bCs/>
          <w:color w:val="000000" w:themeColor="text1"/>
        </w:rPr>
        <w:t xml:space="preserve"> looked at usage by Group A and Group B systems. Pretty uniform. Some group A systems have higher use in more affluent areas. Affluence is better correlation of water use than </w:t>
      </w:r>
      <w:r>
        <w:rPr>
          <w:rFonts w:asciiTheme="minorHAnsi" w:hAnsiTheme="minorHAnsi" w:cstheme="minorHAnsi"/>
          <w:bCs/>
          <w:color w:val="000000" w:themeColor="text1"/>
        </w:rPr>
        <w:t>G</w:t>
      </w:r>
      <w:r w:rsidR="00F8009C" w:rsidRPr="00965F0F">
        <w:rPr>
          <w:rFonts w:asciiTheme="minorHAnsi" w:hAnsiTheme="minorHAnsi" w:cstheme="minorHAnsi"/>
          <w:bCs/>
          <w:color w:val="000000" w:themeColor="text1"/>
        </w:rPr>
        <w:t xml:space="preserve">roup </w:t>
      </w:r>
      <w:r>
        <w:rPr>
          <w:rFonts w:asciiTheme="minorHAnsi" w:hAnsiTheme="minorHAnsi" w:cstheme="minorHAnsi"/>
          <w:bCs/>
          <w:color w:val="000000" w:themeColor="text1"/>
        </w:rPr>
        <w:t>A</w:t>
      </w:r>
      <w:r w:rsidR="00F8009C" w:rsidRPr="00965F0F">
        <w:rPr>
          <w:rFonts w:asciiTheme="minorHAnsi" w:hAnsiTheme="minorHAnsi" w:cstheme="minorHAnsi"/>
          <w:bCs/>
          <w:color w:val="000000" w:themeColor="text1"/>
        </w:rPr>
        <w:t xml:space="preserve"> or </w:t>
      </w:r>
      <w:r>
        <w:rPr>
          <w:rFonts w:asciiTheme="minorHAnsi" w:hAnsiTheme="minorHAnsi" w:cstheme="minorHAnsi"/>
          <w:bCs/>
          <w:color w:val="000000" w:themeColor="text1"/>
        </w:rPr>
        <w:t>B</w:t>
      </w:r>
      <w:r w:rsidR="00F8009C" w:rsidRPr="00965F0F">
        <w:rPr>
          <w:rFonts w:asciiTheme="minorHAnsi" w:hAnsiTheme="minorHAnsi" w:cstheme="minorHAnsi"/>
          <w:bCs/>
          <w:color w:val="000000" w:themeColor="text1"/>
        </w:rPr>
        <w:t xml:space="preserve"> system.</w:t>
      </w:r>
      <w:r w:rsidR="00AD1ABD" w:rsidRPr="00965F0F">
        <w:rPr>
          <w:rFonts w:asciiTheme="minorHAnsi" w:hAnsiTheme="minorHAnsi" w:cstheme="minorHAnsi"/>
          <w:bCs/>
          <w:color w:val="000000" w:themeColor="text1"/>
        </w:rPr>
        <w:t xml:space="preserve"> KPUD will look at more years of data. KPUD is doing a water efficiency study and there is the possibility to consider this information and see how water use is going down and efficiencies are increasing.</w:t>
      </w:r>
    </w:p>
    <w:p w14:paraId="123E4168" w14:textId="24E6888F" w:rsidR="00AD1ABD" w:rsidRPr="00965F0F" w:rsidRDefault="00AD1ABD" w:rsidP="00AD1ABD">
      <w:pPr>
        <w:pStyle w:val="Normal1style"/>
        <w:numPr>
          <w:ilvl w:val="0"/>
          <w:numId w:val="30"/>
        </w:numPr>
        <w:tabs>
          <w:tab w:val="left" w:pos="6120"/>
        </w:tabs>
        <w:spacing w:before="120"/>
        <w:rPr>
          <w:rFonts w:asciiTheme="minorHAnsi" w:hAnsiTheme="minorHAnsi" w:cstheme="minorHAnsi"/>
          <w:bCs/>
          <w:color w:val="000000" w:themeColor="text1"/>
        </w:rPr>
      </w:pPr>
      <w:r w:rsidRPr="00965F0F">
        <w:rPr>
          <w:rFonts w:asciiTheme="minorHAnsi" w:hAnsiTheme="minorHAnsi" w:cstheme="minorHAnsi"/>
          <w:bCs/>
          <w:color w:val="000000" w:themeColor="text1"/>
        </w:rPr>
        <w:t xml:space="preserve">Irrigation efficiency relates to the type of sprinkler or application. HDR will look into the application </w:t>
      </w:r>
      <w:r w:rsidR="00B444C8" w:rsidRPr="00965F0F">
        <w:rPr>
          <w:rFonts w:asciiTheme="minorHAnsi" w:hAnsiTheme="minorHAnsi" w:cstheme="minorHAnsi"/>
          <w:bCs/>
          <w:color w:val="000000" w:themeColor="text1"/>
        </w:rPr>
        <w:t>requirement</w:t>
      </w:r>
      <w:r w:rsidRPr="00965F0F">
        <w:rPr>
          <w:rFonts w:asciiTheme="minorHAnsi" w:hAnsiTheme="minorHAnsi" w:cstheme="minorHAnsi"/>
          <w:bCs/>
          <w:color w:val="000000" w:themeColor="text1"/>
        </w:rPr>
        <w:t xml:space="preserve"> from the irrigation guide (e.g. if only 75% efficient, will need to use 25% more than the </w:t>
      </w:r>
      <w:r w:rsidR="00B444C8" w:rsidRPr="00965F0F">
        <w:rPr>
          <w:rFonts w:asciiTheme="minorHAnsi" w:hAnsiTheme="minorHAnsi" w:cstheme="minorHAnsi"/>
          <w:bCs/>
          <w:color w:val="000000" w:themeColor="text1"/>
        </w:rPr>
        <w:t>irrigations</w:t>
      </w:r>
      <w:r w:rsidRPr="00965F0F">
        <w:rPr>
          <w:rFonts w:asciiTheme="minorHAnsi" w:hAnsiTheme="minorHAnsi" w:cstheme="minorHAnsi"/>
          <w:bCs/>
          <w:color w:val="000000" w:themeColor="text1"/>
        </w:rPr>
        <w:t xml:space="preserve"> guide tells you </w:t>
      </w:r>
      <w:r w:rsidR="00AE106B">
        <w:rPr>
          <w:rFonts w:asciiTheme="minorHAnsi" w:hAnsiTheme="minorHAnsi" w:cstheme="minorHAnsi"/>
          <w:bCs/>
          <w:color w:val="000000" w:themeColor="text1"/>
        </w:rPr>
        <w:t>to fully irrigate a lawn</w:t>
      </w:r>
      <w:r w:rsidRPr="00965F0F">
        <w:rPr>
          <w:rFonts w:asciiTheme="minorHAnsi" w:hAnsiTheme="minorHAnsi" w:cstheme="minorHAnsi"/>
          <w:bCs/>
          <w:color w:val="000000" w:themeColor="text1"/>
        </w:rPr>
        <w:t>).</w:t>
      </w:r>
    </w:p>
    <w:p w14:paraId="022AB3D5" w14:textId="10647ED4" w:rsidR="00AD1ABD" w:rsidRPr="00965F0F" w:rsidRDefault="00AD1ABD" w:rsidP="00AD1ABD">
      <w:pPr>
        <w:pStyle w:val="Normal1style"/>
        <w:numPr>
          <w:ilvl w:val="0"/>
          <w:numId w:val="30"/>
        </w:numPr>
        <w:tabs>
          <w:tab w:val="left" w:pos="6120"/>
        </w:tabs>
        <w:spacing w:before="120"/>
        <w:rPr>
          <w:rFonts w:asciiTheme="minorHAnsi" w:hAnsiTheme="minorHAnsi" w:cstheme="minorHAnsi"/>
          <w:bCs/>
          <w:color w:val="000000" w:themeColor="text1"/>
        </w:rPr>
      </w:pPr>
      <w:r w:rsidRPr="00965F0F">
        <w:rPr>
          <w:rFonts w:asciiTheme="minorHAnsi" w:hAnsiTheme="minorHAnsi" w:cstheme="minorHAnsi"/>
          <w:bCs/>
          <w:color w:val="000000" w:themeColor="text1"/>
        </w:rPr>
        <w:t>For consumptive use (how much does not return to the grou</w:t>
      </w:r>
      <w:r w:rsidR="00B444C8">
        <w:rPr>
          <w:rFonts w:asciiTheme="minorHAnsi" w:hAnsiTheme="minorHAnsi" w:cstheme="minorHAnsi"/>
          <w:bCs/>
          <w:color w:val="000000" w:themeColor="text1"/>
        </w:rPr>
        <w:t>nd</w:t>
      </w:r>
      <w:r w:rsidRPr="00965F0F">
        <w:rPr>
          <w:rFonts w:asciiTheme="minorHAnsi" w:hAnsiTheme="minorHAnsi" w:cstheme="minorHAnsi"/>
          <w:bCs/>
          <w:color w:val="000000" w:themeColor="text1"/>
        </w:rPr>
        <w:t>), Ecology recommends 80% unless there is better local data.</w:t>
      </w:r>
    </w:p>
    <w:p w14:paraId="78512B3A" w14:textId="480CC98E" w:rsidR="00AD1ABD" w:rsidRPr="00965F0F" w:rsidRDefault="00AD1ABD" w:rsidP="00AD1ABD">
      <w:pPr>
        <w:pStyle w:val="Normal1style"/>
        <w:numPr>
          <w:ilvl w:val="0"/>
          <w:numId w:val="30"/>
        </w:numPr>
        <w:tabs>
          <w:tab w:val="left" w:pos="6120"/>
        </w:tabs>
        <w:spacing w:before="120"/>
        <w:rPr>
          <w:rFonts w:asciiTheme="minorHAnsi" w:hAnsiTheme="minorHAnsi" w:cstheme="minorHAnsi"/>
          <w:bCs/>
          <w:color w:val="000000" w:themeColor="text1"/>
        </w:rPr>
      </w:pPr>
      <w:r w:rsidRPr="00965F0F">
        <w:rPr>
          <w:rFonts w:asciiTheme="minorHAnsi" w:hAnsiTheme="minorHAnsi" w:cstheme="minorHAnsi"/>
          <w:bCs/>
          <w:color w:val="000000" w:themeColor="text1"/>
        </w:rPr>
        <w:t>The basis for the outdoor consumptive use is lawns. Are there other outside uses (gardens, water features) that we need to consider? KPUD does not think there are a lot</w:t>
      </w:r>
      <w:r w:rsidR="00FD1463" w:rsidRPr="00965F0F">
        <w:rPr>
          <w:rFonts w:asciiTheme="minorHAnsi" w:hAnsiTheme="minorHAnsi" w:cstheme="minorHAnsi"/>
          <w:bCs/>
          <w:color w:val="000000" w:themeColor="text1"/>
        </w:rPr>
        <w:t xml:space="preserve"> and HDR thinks that what we’ll find the </w:t>
      </w:r>
      <w:r w:rsidR="00B444C8">
        <w:rPr>
          <w:rFonts w:asciiTheme="minorHAnsi" w:hAnsiTheme="minorHAnsi" w:cstheme="minorHAnsi"/>
          <w:bCs/>
          <w:color w:val="000000" w:themeColor="text1"/>
        </w:rPr>
        <w:t>lawn</w:t>
      </w:r>
      <w:r w:rsidR="00FD1463" w:rsidRPr="00965F0F">
        <w:rPr>
          <w:rFonts w:asciiTheme="minorHAnsi" w:hAnsiTheme="minorHAnsi" w:cstheme="minorHAnsi"/>
          <w:bCs/>
          <w:color w:val="000000" w:themeColor="text1"/>
        </w:rPr>
        <w:t xml:space="preserve"> analysis is likely higher than the metered data (which would capture outdoor water use). It might be difficult to estimate water use for other features. Likely more effort than it’s worth.</w:t>
      </w:r>
    </w:p>
    <w:p w14:paraId="10DD5645" w14:textId="512C26A3" w:rsidR="00FD1463" w:rsidRPr="00965F0F" w:rsidRDefault="00FD1463" w:rsidP="00AD1ABD">
      <w:pPr>
        <w:pStyle w:val="Normal1style"/>
        <w:numPr>
          <w:ilvl w:val="0"/>
          <w:numId w:val="30"/>
        </w:numPr>
        <w:tabs>
          <w:tab w:val="left" w:pos="6120"/>
        </w:tabs>
        <w:spacing w:before="120"/>
        <w:rPr>
          <w:rFonts w:asciiTheme="minorHAnsi" w:hAnsiTheme="minorHAnsi" w:cstheme="minorHAnsi"/>
          <w:bCs/>
          <w:color w:val="000000" w:themeColor="text1"/>
        </w:rPr>
      </w:pPr>
      <w:r w:rsidRPr="00965F0F">
        <w:rPr>
          <w:rFonts w:asciiTheme="minorHAnsi" w:hAnsiTheme="minorHAnsi" w:cstheme="minorHAnsi"/>
          <w:bCs/>
          <w:color w:val="000000" w:themeColor="text1"/>
        </w:rPr>
        <w:t>Squaxin Island Tribe would like input on their spreadsheet for consumptive use calculations and assumptions and safety factors. Want to ensure that safety factors or levels of uncertainty are grounded in data.</w:t>
      </w:r>
    </w:p>
    <w:p w14:paraId="25D313EF" w14:textId="7FD08B07" w:rsidR="00FD1463" w:rsidRPr="00965F0F" w:rsidRDefault="00FD1463" w:rsidP="00AD1ABD">
      <w:pPr>
        <w:pStyle w:val="Normal1style"/>
        <w:numPr>
          <w:ilvl w:val="0"/>
          <w:numId w:val="30"/>
        </w:numPr>
        <w:tabs>
          <w:tab w:val="left" w:pos="6120"/>
        </w:tabs>
        <w:spacing w:before="120"/>
        <w:rPr>
          <w:rFonts w:asciiTheme="minorHAnsi" w:hAnsiTheme="minorHAnsi" w:cstheme="minorHAnsi"/>
          <w:bCs/>
          <w:color w:val="000000" w:themeColor="text1"/>
        </w:rPr>
      </w:pPr>
      <w:r w:rsidRPr="00965F0F">
        <w:rPr>
          <w:rFonts w:asciiTheme="minorHAnsi" w:hAnsiTheme="minorHAnsi" w:cstheme="minorHAnsi"/>
          <w:bCs/>
          <w:color w:val="000000" w:themeColor="text1"/>
        </w:rPr>
        <w:t>HDR is scoped to look at 6 different consumptive use scenarios per WRIA. We need a targeted way to do the analysis.  HDR will set up analytical, spreadsheets and m</w:t>
      </w:r>
      <w:r w:rsidR="00965F0F" w:rsidRPr="00965F0F">
        <w:rPr>
          <w:rFonts w:asciiTheme="minorHAnsi" w:hAnsiTheme="minorHAnsi" w:cstheme="minorHAnsi"/>
          <w:bCs/>
          <w:color w:val="000000" w:themeColor="text1"/>
        </w:rPr>
        <w:t>e</w:t>
      </w:r>
      <w:r w:rsidRPr="00965F0F">
        <w:rPr>
          <w:rFonts w:asciiTheme="minorHAnsi" w:hAnsiTheme="minorHAnsi" w:cstheme="minorHAnsi"/>
          <w:bCs/>
          <w:color w:val="000000" w:themeColor="text1"/>
        </w:rPr>
        <w:t>thods. Dan may reach out to folks to acquire additional data. Workgroup needs to start thi</w:t>
      </w:r>
      <w:r w:rsidR="00965F0F" w:rsidRPr="00965F0F">
        <w:rPr>
          <w:rFonts w:asciiTheme="minorHAnsi" w:hAnsiTheme="minorHAnsi" w:cstheme="minorHAnsi"/>
          <w:bCs/>
          <w:color w:val="000000" w:themeColor="text1"/>
        </w:rPr>
        <w:t>n</w:t>
      </w:r>
      <w:r w:rsidRPr="00965F0F">
        <w:rPr>
          <w:rFonts w:asciiTheme="minorHAnsi" w:hAnsiTheme="minorHAnsi" w:cstheme="minorHAnsi"/>
          <w:bCs/>
          <w:color w:val="000000" w:themeColor="text1"/>
        </w:rPr>
        <w:t xml:space="preserve">king about assumptions and </w:t>
      </w:r>
      <w:r w:rsidR="00965F0F" w:rsidRPr="00965F0F">
        <w:rPr>
          <w:rFonts w:asciiTheme="minorHAnsi" w:hAnsiTheme="minorHAnsi" w:cstheme="minorHAnsi"/>
          <w:bCs/>
          <w:color w:val="000000" w:themeColor="text1"/>
        </w:rPr>
        <w:t>potential scenarios to run and provide a list to HDR.</w:t>
      </w:r>
    </w:p>
    <w:p w14:paraId="620E2E3A" w14:textId="10288F1A" w:rsidR="00965F0F" w:rsidRPr="00965F0F" w:rsidRDefault="00965F0F" w:rsidP="00AD1ABD">
      <w:pPr>
        <w:pStyle w:val="Normal1style"/>
        <w:numPr>
          <w:ilvl w:val="0"/>
          <w:numId w:val="30"/>
        </w:numPr>
        <w:tabs>
          <w:tab w:val="left" w:pos="6120"/>
        </w:tabs>
        <w:spacing w:before="120"/>
        <w:rPr>
          <w:rFonts w:asciiTheme="minorHAnsi" w:hAnsiTheme="minorHAnsi" w:cstheme="minorHAnsi"/>
          <w:bCs/>
          <w:color w:val="000000" w:themeColor="text1"/>
        </w:rPr>
      </w:pPr>
      <w:r w:rsidRPr="00965F0F">
        <w:rPr>
          <w:rFonts w:asciiTheme="minorHAnsi" w:hAnsiTheme="minorHAnsi" w:cstheme="minorHAnsi"/>
          <w:bCs/>
          <w:color w:val="000000" w:themeColor="text1"/>
        </w:rPr>
        <w:lastRenderedPageBreak/>
        <w:t>The lawn analysis is going to be more complicated than HDR anticipated. They are working on a process summary and will provide to the workgroup for input.</w:t>
      </w:r>
    </w:p>
    <w:p w14:paraId="47E22BB1" w14:textId="6068CA8A" w:rsidR="005B2F47" w:rsidRPr="00965F0F" w:rsidRDefault="005B2F47" w:rsidP="005B2F47">
      <w:pPr>
        <w:pStyle w:val="Heading1"/>
        <w:rPr>
          <w:rFonts w:asciiTheme="minorHAnsi" w:hAnsiTheme="minorHAnsi" w:cstheme="minorHAnsi"/>
          <w:sz w:val="22"/>
          <w:szCs w:val="22"/>
        </w:rPr>
      </w:pPr>
      <w:r w:rsidRPr="00965F0F">
        <w:rPr>
          <w:rFonts w:asciiTheme="minorHAnsi" w:hAnsiTheme="minorHAnsi" w:cstheme="minorHAnsi"/>
          <w:sz w:val="22"/>
          <w:szCs w:val="22"/>
        </w:rPr>
        <w:t>Action Items and Next Steps</w:t>
      </w:r>
    </w:p>
    <w:p w14:paraId="0B2B92EE" w14:textId="499DA8CC" w:rsidR="00965F0F" w:rsidRPr="00965F0F" w:rsidRDefault="00965F0F" w:rsidP="00965F0F">
      <w:pPr>
        <w:pStyle w:val="Normal1style"/>
        <w:numPr>
          <w:ilvl w:val="0"/>
          <w:numId w:val="31"/>
        </w:numPr>
        <w:spacing w:before="120"/>
        <w:rPr>
          <w:rFonts w:asciiTheme="minorHAnsi" w:hAnsiTheme="minorHAnsi" w:cstheme="minorHAnsi"/>
          <w:bCs/>
          <w:color w:val="000000" w:themeColor="text1"/>
        </w:rPr>
      </w:pPr>
      <w:r w:rsidRPr="00965F0F">
        <w:rPr>
          <w:rFonts w:asciiTheme="minorHAnsi" w:hAnsiTheme="minorHAnsi" w:cstheme="minorHAnsi"/>
          <w:bCs/>
          <w:color w:val="000000" w:themeColor="text1"/>
        </w:rPr>
        <w:t>Paul volunteered to do a report out at the next committee meeting</w:t>
      </w:r>
      <w:r w:rsidR="00BD6DC4">
        <w:rPr>
          <w:rFonts w:asciiTheme="minorHAnsi" w:hAnsiTheme="minorHAnsi" w:cstheme="minorHAnsi"/>
          <w:bCs/>
          <w:color w:val="000000" w:themeColor="text1"/>
        </w:rPr>
        <w:t xml:space="preserve"> to summarize the discussion and next steps from today’s meeting</w:t>
      </w:r>
      <w:r w:rsidRPr="00965F0F">
        <w:rPr>
          <w:rFonts w:asciiTheme="minorHAnsi" w:hAnsiTheme="minorHAnsi" w:cstheme="minorHAnsi"/>
          <w:bCs/>
          <w:color w:val="000000" w:themeColor="text1"/>
        </w:rPr>
        <w:t>.</w:t>
      </w:r>
    </w:p>
    <w:p w14:paraId="435D8452" w14:textId="311D0BDE" w:rsidR="00965F0F" w:rsidRDefault="00965F0F" w:rsidP="00965F0F">
      <w:pPr>
        <w:pStyle w:val="Normal1style"/>
        <w:numPr>
          <w:ilvl w:val="0"/>
          <w:numId w:val="31"/>
        </w:numPr>
        <w:spacing w:before="120"/>
        <w:rPr>
          <w:rFonts w:asciiTheme="minorHAnsi" w:hAnsiTheme="minorHAnsi" w:cstheme="minorHAnsi"/>
          <w:bCs/>
          <w:color w:val="000000" w:themeColor="text1"/>
        </w:rPr>
      </w:pPr>
      <w:r>
        <w:rPr>
          <w:rFonts w:asciiTheme="minorHAnsi" w:hAnsiTheme="minorHAnsi" w:cstheme="minorHAnsi"/>
          <w:bCs/>
          <w:color w:val="000000" w:themeColor="text1"/>
        </w:rPr>
        <w:t>HDR will make corrections to the Mason Co heat map regarding the Hood Canal and South Sound boundaries and work with the county to check the well projections.</w:t>
      </w:r>
    </w:p>
    <w:p w14:paraId="5295C925" w14:textId="7C961780" w:rsidR="00965F0F" w:rsidRPr="00965F0F" w:rsidRDefault="00965F0F" w:rsidP="00965F0F">
      <w:pPr>
        <w:pStyle w:val="Normal1style"/>
        <w:numPr>
          <w:ilvl w:val="0"/>
          <w:numId w:val="31"/>
        </w:numPr>
        <w:spacing w:before="120"/>
        <w:rPr>
          <w:rFonts w:asciiTheme="minorHAnsi" w:hAnsiTheme="minorHAnsi" w:cstheme="minorHAnsi"/>
          <w:bCs/>
          <w:color w:val="000000" w:themeColor="text1"/>
        </w:rPr>
      </w:pPr>
      <w:r w:rsidRPr="00965F0F">
        <w:rPr>
          <w:rFonts w:asciiTheme="minorHAnsi" w:hAnsiTheme="minorHAnsi" w:cstheme="minorHAnsi"/>
          <w:bCs/>
          <w:color w:val="000000" w:themeColor="text1"/>
        </w:rPr>
        <w:t>Workgroup and committee</w:t>
      </w:r>
      <w:r w:rsidR="00BD6DC4">
        <w:rPr>
          <w:rFonts w:asciiTheme="minorHAnsi" w:hAnsiTheme="minorHAnsi" w:cstheme="minorHAnsi"/>
          <w:bCs/>
          <w:color w:val="000000" w:themeColor="text1"/>
        </w:rPr>
        <w:t xml:space="preserve"> members</w:t>
      </w:r>
      <w:r w:rsidRPr="00965F0F">
        <w:rPr>
          <w:rFonts w:asciiTheme="minorHAnsi" w:hAnsiTheme="minorHAnsi" w:cstheme="minorHAnsi"/>
          <w:bCs/>
          <w:color w:val="000000" w:themeColor="text1"/>
        </w:rPr>
        <w:t xml:space="preserve"> to provide comments on the growth projection analysis memo by August 31</w:t>
      </w:r>
      <w:r w:rsidRPr="00965F0F">
        <w:rPr>
          <w:rFonts w:asciiTheme="minorHAnsi" w:hAnsiTheme="minorHAnsi" w:cstheme="minorHAnsi"/>
          <w:bCs/>
          <w:color w:val="000000" w:themeColor="text1"/>
          <w:vertAlign w:val="superscript"/>
        </w:rPr>
        <w:t>st</w:t>
      </w:r>
      <w:r w:rsidRPr="00965F0F">
        <w:rPr>
          <w:rFonts w:asciiTheme="minorHAnsi" w:hAnsiTheme="minorHAnsi" w:cstheme="minorHAnsi"/>
          <w:bCs/>
          <w:color w:val="000000" w:themeColor="text1"/>
        </w:rPr>
        <w:t>.</w:t>
      </w:r>
    </w:p>
    <w:p w14:paraId="64B84F44" w14:textId="0219E6CA" w:rsidR="00965F0F" w:rsidRPr="00965F0F" w:rsidRDefault="00965F0F" w:rsidP="00965F0F">
      <w:pPr>
        <w:pStyle w:val="Normal1style"/>
        <w:numPr>
          <w:ilvl w:val="0"/>
          <w:numId w:val="31"/>
        </w:numPr>
        <w:spacing w:before="120"/>
        <w:rPr>
          <w:rFonts w:asciiTheme="minorHAnsi" w:hAnsiTheme="minorHAnsi" w:cstheme="minorHAnsi"/>
          <w:bCs/>
          <w:color w:val="000000" w:themeColor="text1"/>
        </w:rPr>
      </w:pPr>
      <w:r w:rsidRPr="00965F0F">
        <w:rPr>
          <w:rFonts w:asciiTheme="minorHAnsi" w:hAnsiTheme="minorHAnsi" w:cstheme="minorHAnsi"/>
          <w:bCs/>
          <w:color w:val="000000" w:themeColor="text1"/>
        </w:rPr>
        <w:t>Stacy will request interest in a more detailed walk through of the growth projection data and heat maps. Stacy will set up a meeting with HDR for interested workgroup and committee members.</w:t>
      </w:r>
    </w:p>
    <w:p w14:paraId="7B01B100" w14:textId="7B5651BB" w:rsidR="00965F0F" w:rsidRPr="00965F0F" w:rsidRDefault="00965F0F" w:rsidP="00965F0F">
      <w:pPr>
        <w:pStyle w:val="Normal1style"/>
        <w:numPr>
          <w:ilvl w:val="0"/>
          <w:numId w:val="31"/>
        </w:numPr>
        <w:spacing w:before="120"/>
        <w:rPr>
          <w:rFonts w:asciiTheme="minorHAnsi" w:hAnsiTheme="minorHAnsi" w:cstheme="minorHAnsi"/>
          <w:bCs/>
          <w:color w:val="000000" w:themeColor="text1"/>
        </w:rPr>
      </w:pPr>
      <w:r w:rsidRPr="00965F0F">
        <w:rPr>
          <w:rFonts w:asciiTheme="minorHAnsi" w:hAnsiTheme="minorHAnsi" w:cstheme="minorHAnsi"/>
          <w:bCs/>
          <w:color w:val="000000" w:themeColor="text1"/>
        </w:rPr>
        <w:t>HDR will develop a memo and heat</w:t>
      </w:r>
      <w:r w:rsidR="00B444C8">
        <w:rPr>
          <w:rFonts w:asciiTheme="minorHAnsi" w:hAnsiTheme="minorHAnsi" w:cstheme="minorHAnsi"/>
          <w:bCs/>
          <w:color w:val="000000" w:themeColor="text1"/>
        </w:rPr>
        <w:t xml:space="preserve"> </w:t>
      </w:r>
      <w:r w:rsidRPr="00965F0F">
        <w:rPr>
          <w:rFonts w:asciiTheme="minorHAnsi" w:hAnsiTheme="minorHAnsi" w:cstheme="minorHAnsi"/>
          <w:bCs/>
          <w:color w:val="000000" w:themeColor="text1"/>
        </w:rPr>
        <w:t>maps specific to WRIA 15.</w:t>
      </w:r>
    </w:p>
    <w:p w14:paraId="0901ED0A" w14:textId="6C1732D0" w:rsidR="001E3D38" w:rsidRPr="00965F0F" w:rsidRDefault="00965F0F" w:rsidP="00965F0F">
      <w:pPr>
        <w:pStyle w:val="Normal1style"/>
        <w:numPr>
          <w:ilvl w:val="0"/>
          <w:numId w:val="31"/>
        </w:numPr>
        <w:spacing w:before="120"/>
        <w:rPr>
          <w:rFonts w:asciiTheme="minorHAnsi" w:hAnsiTheme="minorHAnsi" w:cstheme="minorHAnsi"/>
          <w:bCs/>
          <w:i/>
          <w:color w:val="000000" w:themeColor="text1"/>
        </w:rPr>
      </w:pPr>
      <w:r w:rsidRPr="00965F0F">
        <w:rPr>
          <w:rFonts w:asciiTheme="minorHAnsi" w:hAnsiTheme="minorHAnsi" w:cstheme="minorHAnsi"/>
          <w:bCs/>
          <w:color w:val="000000" w:themeColor="text1"/>
        </w:rPr>
        <w:t xml:space="preserve">Workgroup should provide feedback to Paul on his spreadsheet </w:t>
      </w:r>
      <w:r w:rsidR="00387912" w:rsidRPr="00965F0F">
        <w:rPr>
          <w:rFonts w:asciiTheme="minorHAnsi" w:hAnsiTheme="minorHAnsi" w:cstheme="minorHAnsi"/>
          <w:bCs/>
          <w:i/>
          <w:color w:val="000000" w:themeColor="text1"/>
        </w:rPr>
        <w:t>WREC PEW CU Assumptions and Buffers</w:t>
      </w:r>
      <w:r w:rsidRPr="00965F0F">
        <w:rPr>
          <w:rFonts w:asciiTheme="minorHAnsi" w:hAnsiTheme="minorHAnsi" w:cstheme="minorHAnsi"/>
          <w:bCs/>
          <w:i/>
          <w:color w:val="000000" w:themeColor="text1"/>
        </w:rPr>
        <w:t>.</w:t>
      </w:r>
    </w:p>
    <w:p w14:paraId="0FDCE031" w14:textId="1C03C7B6" w:rsidR="00965F0F" w:rsidRPr="00965F0F" w:rsidRDefault="00965F0F" w:rsidP="00965F0F">
      <w:pPr>
        <w:pStyle w:val="Normal1style"/>
        <w:numPr>
          <w:ilvl w:val="0"/>
          <w:numId w:val="31"/>
        </w:numPr>
        <w:spacing w:before="120"/>
        <w:rPr>
          <w:rFonts w:asciiTheme="minorHAnsi" w:hAnsiTheme="minorHAnsi" w:cstheme="minorHAnsi"/>
          <w:bCs/>
          <w:color w:val="000000" w:themeColor="text1"/>
        </w:rPr>
      </w:pPr>
      <w:r w:rsidRPr="00965F0F">
        <w:rPr>
          <w:rFonts w:asciiTheme="minorHAnsi" w:hAnsiTheme="minorHAnsi" w:cstheme="minorHAnsi"/>
          <w:bCs/>
          <w:color w:val="000000" w:themeColor="text1"/>
        </w:rPr>
        <w:t>Workgroup should begin to think about scenarios they want to see for the growth projections. A forthcoming memo will describe potential options. The workgroup will revisit the topic at the next meeting.</w:t>
      </w:r>
    </w:p>
    <w:p w14:paraId="11E6491E" w14:textId="1DA5538C" w:rsidR="00965F0F" w:rsidRPr="00965F0F" w:rsidRDefault="00965F0F" w:rsidP="00965F0F">
      <w:pPr>
        <w:pStyle w:val="Normal1style"/>
        <w:numPr>
          <w:ilvl w:val="0"/>
          <w:numId w:val="31"/>
        </w:numPr>
        <w:spacing w:before="120"/>
        <w:rPr>
          <w:rFonts w:asciiTheme="minorHAnsi" w:hAnsiTheme="minorHAnsi" w:cstheme="minorHAnsi"/>
          <w:bCs/>
          <w:color w:val="000000" w:themeColor="text1"/>
        </w:rPr>
      </w:pPr>
      <w:r w:rsidRPr="00965F0F">
        <w:rPr>
          <w:rFonts w:asciiTheme="minorHAnsi" w:hAnsiTheme="minorHAnsi" w:cstheme="minorHAnsi"/>
          <w:bCs/>
          <w:color w:val="000000" w:themeColor="text1"/>
        </w:rPr>
        <w:t>Workgroup should provide input to HDR on the water systems they should reach out to for metered data.</w:t>
      </w:r>
    </w:p>
    <w:p w14:paraId="6A82F6FA" w14:textId="17DF9D0D" w:rsidR="00965F0F" w:rsidRPr="00965F0F" w:rsidRDefault="00965F0F" w:rsidP="00965F0F">
      <w:pPr>
        <w:pStyle w:val="Normal1style"/>
        <w:numPr>
          <w:ilvl w:val="0"/>
          <w:numId w:val="31"/>
        </w:numPr>
        <w:spacing w:before="120"/>
        <w:rPr>
          <w:rFonts w:asciiTheme="minorHAnsi" w:hAnsiTheme="minorHAnsi" w:cstheme="minorHAnsi"/>
          <w:bCs/>
          <w:color w:val="000000" w:themeColor="text1"/>
        </w:rPr>
      </w:pPr>
      <w:r w:rsidRPr="00965F0F">
        <w:rPr>
          <w:rFonts w:asciiTheme="minorHAnsi" w:hAnsiTheme="minorHAnsi" w:cstheme="minorHAnsi"/>
          <w:bCs/>
          <w:color w:val="000000" w:themeColor="text1"/>
        </w:rPr>
        <w:t>Joel will provide a citation for the Skagit study and provide additional historical metered data once available.</w:t>
      </w:r>
    </w:p>
    <w:p w14:paraId="7898C8E5" w14:textId="5F36D371" w:rsidR="00965F0F" w:rsidRPr="00965F0F" w:rsidRDefault="00965F0F" w:rsidP="00965F0F">
      <w:pPr>
        <w:pStyle w:val="Normal1style"/>
        <w:numPr>
          <w:ilvl w:val="0"/>
          <w:numId w:val="31"/>
        </w:numPr>
        <w:spacing w:before="120"/>
        <w:rPr>
          <w:rFonts w:asciiTheme="minorHAnsi" w:hAnsiTheme="minorHAnsi" w:cstheme="minorHAnsi"/>
          <w:bCs/>
          <w:color w:val="000000" w:themeColor="text1"/>
        </w:rPr>
      </w:pPr>
      <w:r w:rsidRPr="00965F0F">
        <w:rPr>
          <w:rFonts w:asciiTheme="minorHAnsi" w:hAnsiTheme="minorHAnsi" w:cstheme="minorHAnsi"/>
          <w:bCs/>
          <w:color w:val="000000" w:themeColor="text1"/>
        </w:rPr>
        <w:t>Workgroup will begin thinking through consumptive use assumptions to consider and further discuss at the September workgroup meeting.</w:t>
      </w:r>
    </w:p>
    <w:p w14:paraId="555A7B47" w14:textId="1C115B47" w:rsidR="00965F0F" w:rsidRPr="00965F0F" w:rsidRDefault="00965F0F" w:rsidP="00965F0F">
      <w:pPr>
        <w:pStyle w:val="Normal1style"/>
        <w:numPr>
          <w:ilvl w:val="0"/>
          <w:numId w:val="31"/>
        </w:numPr>
        <w:spacing w:before="120"/>
        <w:rPr>
          <w:rFonts w:asciiTheme="minorHAnsi" w:hAnsiTheme="minorHAnsi" w:cstheme="minorHAnsi"/>
          <w:bCs/>
          <w:color w:val="000000" w:themeColor="text1"/>
        </w:rPr>
      </w:pPr>
      <w:r w:rsidRPr="00965F0F">
        <w:rPr>
          <w:rFonts w:asciiTheme="minorHAnsi" w:hAnsiTheme="minorHAnsi" w:cstheme="minorHAnsi"/>
          <w:bCs/>
          <w:color w:val="000000" w:themeColor="text1"/>
        </w:rPr>
        <w:t>The next meeting of the workgroup is September 11</w:t>
      </w:r>
      <w:r w:rsidRPr="00965F0F">
        <w:rPr>
          <w:rFonts w:asciiTheme="minorHAnsi" w:hAnsiTheme="minorHAnsi" w:cstheme="minorHAnsi"/>
          <w:bCs/>
          <w:color w:val="000000" w:themeColor="text1"/>
          <w:vertAlign w:val="superscript"/>
        </w:rPr>
        <w:t>th</w:t>
      </w:r>
      <w:r w:rsidRPr="00965F0F">
        <w:rPr>
          <w:rFonts w:asciiTheme="minorHAnsi" w:hAnsiTheme="minorHAnsi" w:cstheme="minorHAnsi"/>
          <w:bCs/>
          <w:color w:val="000000" w:themeColor="text1"/>
        </w:rPr>
        <w:t xml:space="preserve"> </w:t>
      </w:r>
      <w:r w:rsidR="00AE106B">
        <w:rPr>
          <w:rFonts w:asciiTheme="minorHAnsi" w:hAnsiTheme="minorHAnsi" w:cstheme="minorHAnsi"/>
          <w:bCs/>
          <w:color w:val="000000" w:themeColor="text1"/>
        </w:rPr>
        <w:t xml:space="preserve">via webex </w:t>
      </w:r>
      <w:r w:rsidRPr="00965F0F">
        <w:rPr>
          <w:rFonts w:asciiTheme="minorHAnsi" w:hAnsiTheme="minorHAnsi" w:cstheme="minorHAnsi"/>
          <w:bCs/>
          <w:color w:val="000000" w:themeColor="text1"/>
        </w:rPr>
        <w:t>and will likely cover growth projection scenarios, consumptive use assumptions and potentially the method for the lawn analysis.</w:t>
      </w:r>
    </w:p>
    <w:p w14:paraId="18D0A513" w14:textId="17599510" w:rsidR="00965F0F" w:rsidRDefault="00965F0F" w:rsidP="00965F0F">
      <w:pPr>
        <w:pStyle w:val="Normal1style"/>
        <w:spacing w:before="120"/>
        <w:rPr>
          <w:bCs/>
          <w:color w:val="000000" w:themeColor="text1"/>
          <w:sz w:val="20"/>
        </w:rPr>
      </w:pPr>
    </w:p>
    <w:p w14:paraId="22F81FA0" w14:textId="13D5BE31" w:rsidR="00B444C8" w:rsidRDefault="00B444C8">
      <w:pPr>
        <w:spacing w:after="160" w:line="259" w:lineRule="auto"/>
      </w:pPr>
      <w:r>
        <w:t>Resources mentioned:</w:t>
      </w:r>
    </w:p>
    <w:p w14:paraId="36C89BED" w14:textId="7F6635D2" w:rsidR="009D0AEC" w:rsidRPr="00B444C8" w:rsidRDefault="009D0AEC" w:rsidP="009D0AEC">
      <w:pPr>
        <w:rPr>
          <w:sz w:val="20"/>
          <w:szCs w:val="20"/>
        </w:rPr>
      </w:pPr>
      <w:r w:rsidRPr="00B444C8">
        <w:rPr>
          <w:sz w:val="20"/>
          <w:szCs w:val="20"/>
        </w:rPr>
        <w:t>The Skagit County exempt well usage study that Joel mentioned is described on pages 18 and 19 (24 and 25 of 33 on the PDF) of:</w:t>
      </w:r>
    </w:p>
    <w:p w14:paraId="6DD75578" w14:textId="77777777" w:rsidR="009D0AEC" w:rsidRPr="00B444C8" w:rsidRDefault="009D0AEC" w:rsidP="009D0AEC">
      <w:pPr>
        <w:rPr>
          <w:sz w:val="20"/>
          <w:szCs w:val="20"/>
        </w:rPr>
      </w:pPr>
      <w:r w:rsidRPr="00B444C8">
        <w:rPr>
          <w:sz w:val="20"/>
          <w:szCs w:val="20"/>
        </w:rPr>
        <w:t>Culhane, T., and Nazy, D., 2015, Permit-exempt domestic well use in Washington state. Washington State Department of Ecology, Water Resources Program, Publication No. 15-11-006</w:t>
      </w:r>
    </w:p>
    <w:p w14:paraId="78F6BE4C" w14:textId="76D2BF76" w:rsidR="009D0AEC" w:rsidRPr="00B444C8" w:rsidRDefault="00AD6C6C" w:rsidP="009D0AEC">
      <w:pPr>
        <w:rPr>
          <w:sz w:val="20"/>
          <w:szCs w:val="20"/>
        </w:rPr>
      </w:pPr>
      <w:hyperlink r:id="rId12" w:history="1">
        <w:r w:rsidR="009D0AEC" w:rsidRPr="00B444C8">
          <w:rPr>
            <w:rStyle w:val="Hyperlink"/>
            <w:color w:val="auto"/>
            <w:sz w:val="20"/>
            <w:szCs w:val="20"/>
          </w:rPr>
          <w:t>https://fortress.wa.gov/ecy/publications/documents/1511006.pdf</w:t>
        </w:r>
      </w:hyperlink>
    </w:p>
    <w:p w14:paraId="0E081A3D" w14:textId="77777777" w:rsidR="00F41585" w:rsidRPr="00B444C8" w:rsidRDefault="00F41585" w:rsidP="009D0AEC">
      <w:pPr>
        <w:rPr>
          <w:sz w:val="20"/>
          <w:szCs w:val="20"/>
        </w:rPr>
      </w:pPr>
    </w:p>
    <w:p w14:paraId="457D652B" w14:textId="7D988518" w:rsidR="00F41585" w:rsidRPr="00B444C8" w:rsidRDefault="00965F0F" w:rsidP="00F41585">
      <w:pPr>
        <w:rPr>
          <w:sz w:val="20"/>
          <w:szCs w:val="20"/>
        </w:rPr>
      </w:pPr>
      <w:r w:rsidRPr="00B444C8">
        <w:rPr>
          <w:sz w:val="20"/>
          <w:szCs w:val="20"/>
        </w:rPr>
        <w:t>T</w:t>
      </w:r>
      <w:r w:rsidR="00F41585" w:rsidRPr="00B444C8">
        <w:rPr>
          <w:sz w:val="20"/>
          <w:szCs w:val="20"/>
        </w:rPr>
        <w:t>he indoor and outdoor water usage data for the Kitsap peninsula used in the USGS groundwater model (also posted on WRIA 15 committee webpage) are found on page 31 (41 of 56 on the PDF) here:</w:t>
      </w:r>
    </w:p>
    <w:p w14:paraId="4EF70DA1" w14:textId="77777777" w:rsidR="00F41585" w:rsidRDefault="00AD6C6C" w:rsidP="00F41585">
      <w:hyperlink r:id="rId13" w:history="1">
        <w:r w:rsidR="00F41585" w:rsidRPr="00B444C8">
          <w:rPr>
            <w:rStyle w:val="Hyperlink"/>
            <w:color w:val="auto"/>
            <w:sz w:val="20"/>
            <w:szCs w:val="20"/>
          </w:rPr>
          <w:t>https://pubs.usgs.gov/sir/2014/5106/pdf/sir20145106.pdf</w:t>
        </w:r>
      </w:hyperlink>
    </w:p>
    <w:p w14:paraId="3042F7AF" w14:textId="77777777" w:rsidR="00F41585" w:rsidRDefault="00F41585" w:rsidP="009D0AEC"/>
    <w:p w14:paraId="36042FFB" w14:textId="77777777" w:rsidR="009D0AEC" w:rsidRDefault="009D0AEC">
      <w:pPr>
        <w:spacing w:after="160" w:line="259" w:lineRule="auto"/>
      </w:pPr>
    </w:p>
    <w:sectPr w:rsidR="009D0AEC" w:rsidSect="00525266">
      <w:type w:val="continuous"/>
      <w:pgSz w:w="12240" w:h="15840"/>
      <w:pgMar w:top="1080" w:right="1440" w:bottom="5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3F0DED" w16cid:durableId="2107DAAA"/>
  <w16cid:commentId w16cid:paraId="6E2FEAB3" w16cid:durableId="2107DB7D"/>
  <w16cid:commentId w16cid:paraId="5C3E11B4" w16cid:durableId="2107DC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4E5AE" w14:textId="77777777" w:rsidR="003C3407" w:rsidRDefault="003C3407" w:rsidP="00E34A0C">
      <w:r>
        <w:separator/>
      </w:r>
    </w:p>
  </w:endnote>
  <w:endnote w:type="continuationSeparator" w:id="0">
    <w:p w14:paraId="0CA2546A" w14:textId="77777777" w:rsidR="003C3407" w:rsidRDefault="003C3407" w:rsidP="00E34A0C">
      <w:r>
        <w:continuationSeparator/>
      </w:r>
    </w:p>
  </w:endnote>
  <w:endnote w:type="continuationNotice" w:id="1">
    <w:p w14:paraId="20983C54" w14:textId="77777777" w:rsidR="003C3407" w:rsidRDefault="003C3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84C7A" w14:textId="77777777" w:rsidR="003C3407" w:rsidRDefault="003C3407" w:rsidP="00E34A0C">
      <w:r>
        <w:separator/>
      </w:r>
    </w:p>
  </w:footnote>
  <w:footnote w:type="continuationSeparator" w:id="0">
    <w:p w14:paraId="73269C2D" w14:textId="77777777" w:rsidR="003C3407" w:rsidRDefault="003C3407" w:rsidP="00E34A0C">
      <w:r>
        <w:continuationSeparator/>
      </w:r>
    </w:p>
  </w:footnote>
  <w:footnote w:type="continuationNotice" w:id="1">
    <w:p w14:paraId="2C12EB03" w14:textId="77777777" w:rsidR="003C3407" w:rsidRDefault="003C340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3DA4"/>
    <w:multiLevelType w:val="hybridMultilevel"/>
    <w:tmpl w:val="E4CAA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A727F"/>
    <w:multiLevelType w:val="hybridMultilevel"/>
    <w:tmpl w:val="8B9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722BE"/>
    <w:multiLevelType w:val="hybridMultilevel"/>
    <w:tmpl w:val="2A24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E1069"/>
    <w:multiLevelType w:val="hybridMultilevel"/>
    <w:tmpl w:val="A2E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E6A0C"/>
    <w:multiLevelType w:val="hybridMultilevel"/>
    <w:tmpl w:val="7E146678"/>
    <w:lvl w:ilvl="0" w:tplc="436C1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522E34"/>
    <w:multiLevelType w:val="hybridMultilevel"/>
    <w:tmpl w:val="A68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57C60"/>
    <w:multiLevelType w:val="hybridMultilevel"/>
    <w:tmpl w:val="A41C4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7440B"/>
    <w:multiLevelType w:val="hybridMultilevel"/>
    <w:tmpl w:val="71B0D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E6823"/>
    <w:multiLevelType w:val="hybridMultilevel"/>
    <w:tmpl w:val="B2281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47505"/>
    <w:multiLevelType w:val="hybridMultilevel"/>
    <w:tmpl w:val="365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C5E5D"/>
    <w:multiLevelType w:val="hybridMultilevel"/>
    <w:tmpl w:val="F0D01916"/>
    <w:lvl w:ilvl="0" w:tplc="AF829F62">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BEF02A6"/>
    <w:multiLevelType w:val="hybridMultilevel"/>
    <w:tmpl w:val="83C4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65750"/>
    <w:multiLevelType w:val="hybridMultilevel"/>
    <w:tmpl w:val="C804EEA0"/>
    <w:lvl w:ilvl="0" w:tplc="FA285E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992A78"/>
    <w:multiLevelType w:val="hybridMultilevel"/>
    <w:tmpl w:val="114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8F391F"/>
    <w:multiLevelType w:val="hybridMultilevel"/>
    <w:tmpl w:val="235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901FA"/>
    <w:multiLevelType w:val="hybridMultilevel"/>
    <w:tmpl w:val="1DB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5255AA"/>
    <w:multiLevelType w:val="hybridMultilevel"/>
    <w:tmpl w:val="308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930D97"/>
    <w:multiLevelType w:val="hybridMultilevel"/>
    <w:tmpl w:val="2080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97147"/>
    <w:multiLevelType w:val="hybridMultilevel"/>
    <w:tmpl w:val="13B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54A27"/>
    <w:multiLevelType w:val="hybridMultilevel"/>
    <w:tmpl w:val="F2F0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461501"/>
    <w:multiLevelType w:val="hybridMultilevel"/>
    <w:tmpl w:val="AF26E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A7AAE"/>
    <w:multiLevelType w:val="hybridMultilevel"/>
    <w:tmpl w:val="4A7A9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8F6FF1"/>
    <w:multiLevelType w:val="hybridMultilevel"/>
    <w:tmpl w:val="761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AA1723"/>
    <w:multiLevelType w:val="hybridMultilevel"/>
    <w:tmpl w:val="A1E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C876DD"/>
    <w:multiLevelType w:val="hybridMultilevel"/>
    <w:tmpl w:val="AC46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0A2FFB"/>
    <w:multiLevelType w:val="hybridMultilevel"/>
    <w:tmpl w:val="D9B2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1B75FA"/>
    <w:multiLevelType w:val="hybridMultilevel"/>
    <w:tmpl w:val="701C3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7157D7"/>
    <w:multiLevelType w:val="hybridMultilevel"/>
    <w:tmpl w:val="EB4A0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E60745"/>
    <w:multiLevelType w:val="hybridMultilevel"/>
    <w:tmpl w:val="82686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727DB6"/>
    <w:multiLevelType w:val="hybridMultilevel"/>
    <w:tmpl w:val="E7FA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5"/>
  </w:num>
  <w:num w:numId="3">
    <w:abstractNumId w:val="23"/>
  </w:num>
  <w:num w:numId="4">
    <w:abstractNumId w:val="21"/>
  </w:num>
  <w:num w:numId="5">
    <w:abstractNumId w:val="17"/>
  </w:num>
  <w:num w:numId="6">
    <w:abstractNumId w:val="9"/>
  </w:num>
  <w:num w:numId="7">
    <w:abstractNumId w:val="3"/>
  </w:num>
  <w:num w:numId="8">
    <w:abstractNumId w:val="16"/>
  </w:num>
  <w:num w:numId="9">
    <w:abstractNumId w:val="4"/>
  </w:num>
  <w:num w:numId="10">
    <w:abstractNumId w:val="20"/>
  </w:num>
  <w:num w:numId="11">
    <w:abstractNumId w:val="11"/>
  </w:num>
  <w:num w:numId="12">
    <w:abstractNumId w:val="18"/>
  </w:num>
  <w:num w:numId="13">
    <w:abstractNumId w:val="14"/>
  </w:num>
  <w:num w:numId="14">
    <w:abstractNumId w:val="22"/>
  </w:num>
  <w:num w:numId="15">
    <w:abstractNumId w:val="1"/>
  </w:num>
  <w:num w:numId="16">
    <w:abstractNumId w:val="11"/>
  </w:num>
  <w:num w:numId="17">
    <w:abstractNumId w:val="10"/>
  </w:num>
  <w:num w:numId="18">
    <w:abstractNumId w:val="13"/>
  </w:num>
  <w:num w:numId="19">
    <w:abstractNumId w:val="27"/>
  </w:num>
  <w:num w:numId="20">
    <w:abstractNumId w:val="5"/>
  </w:num>
  <w:num w:numId="21">
    <w:abstractNumId w:val="29"/>
  </w:num>
  <w:num w:numId="22">
    <w:abstractNumId w:val="25"/>
  </w:num>
  <w:num w:numId="23">
    <w:abstractNumId w:val="24"/>
  </w:num>
  <w:num w:numId="24">
    <w:abstractNumId w:val="0"/>
  </w:num>
  <w:num w:numId="25">
    <w:abstractNumId w:val="6"/>
  </w:num>
  <w:num w:numId="26">
    <w:abstractNumId w:val="7"/>
  </w:num>
  <w:num w:numId="27">
    <w:abstractNumId w:val="28"/>
  </w:num>
  <w:num w:numId="28">
    <w:abstractNumId w:val="8"/>
  </w:num>
  <w:num w:numId="29">
    <w:abstractNumId w:val="2"/>
  </w:num>
  <w:num w:numId="30">
    <w:abstractNumId w:val="2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168C"/>
    <w:rsid w:val="00013AE4"/>
    <w:rsid w:val="00014BF9"/>
    <w:rsid w:val="00026512"/>
    <w:rsid w:val="00042625"/>
    <w:rsid w:val="00060A54"/>
    <w:rsid w:val="000952E5"/>
    <w:rsid w:val="000A39F4"/>
    <w:rsid w:val="000A732B"/>
    <w:rsid w:val="000B45E1"/>
    <w:rsid w:val="000B53FB"/>
    <w:rsid w:val="000B65AA"/>
    <w:rsid w:val="000C0787"/>
    <w:rsid w:val="000E6F73"/>
    <w:rsid w:val="000F260A"/>
    <w:rsid w:val="000F3546"/>
    <w:rsid w:val="000F6243"/>
    <w:rsid w:val="001010F9"/>
    <w:rsid w:val="00150AFC"/>
    <w:rsid w:val="00153087"/>
    <w:rsid w:val="00163F07"/>
    <w:rsid w:val="00180809"/>
    <w:rsid w:val="0019587F"/>
    <w:rsid w:val="001B10D0"/>
    <w:rsid w:val="001D2044"/>
    <w:rsid w:val="001E3D38"/>
    <w:rsid w:val="001F7A77"/>
    <w:rsid w:val="0020598D"/>
    <w:rsid w:val="00206C04"/>
    <w:rsid w:val="00246EA3"/>
    <w:rsid w:val="002640CD"/>
    <w:rsid w:val="002861D0"/>
    <w:rsid w:val="002944DD"/>
    <w:rsid w:val="002A7A04"/>
    <w:rsid w:val="002B161B"/>
    <w:rsid w:val="002C6AFE"/>
    <w:rsid w:val="002D0921"/>
    <w:rsid w:val="002D5210"/>
    <w:rsid w:val="002E1A38"/>
    <w:rsid w:val="00300A18"/>
    <w:rsid w:val="00305A68"/>
    <w:rsid w:val="00312A3A"/>
    <w:rsid w:val="00340641"/>
    <w:rsid w:val="00341613"/>
    <w:rsid w:val="0037551A"/>
    <w:rsid w:val="00375B5A"/>
    <w:rsid w:val="0037784B"/>
    <w:rsid w:val="00387912"/>
    <w:rsid w:val="003A04F2"/>
    <w:rsid w:val="003B49C6"/>
    <w:rsid w:val="003C3407"/>
    <w:rsid w:val="003D6845"/>
    <w:rsid w:val="003F0D14"/>
    <w:rsid w:val="003F397F"/>
    <w:rsid w:val="00411752"/>
    <w:rsid w:val="00424857"/>
    <w:rsid w:val="00426D7F"/>
    <w:rsid w:val="004315F6"/>
    <w:rsid w:val="00434E40"/>
    <w:rsid w:val="0044453B"/>
    <w:rsid w:val="00455ECE"/>
    <w:rsid w:val="0046467E"/>
    <w:rsid w:val="00467142"/>
    <w:rsid w:val="00484EB7"/>
    <w:rsid w:val="004878D7"/>
    <w:rsid w:val="004A215E"/>
    <w:rsid w:val="004B5763"/>
    <w:rsid w:val="004C1921"/>
    <w:rsid w:val="004D0C95"/>
    <w:rsid w:val="004E0684"/>
    <w:rsid w:val="004E586B"/>
    <w:rsid w:val="004E72B8"/>
    <w:rsid w:val="004F0620"/>
    <w:rsid w:val="004F6CA7"/>
    <w:rsid w:val="00501ED0"/>
    <w:rsid w:val="00513B7D"/>
    <w:rsid w:val="00516813"/>
    <w:rsid w:val="00524C5D"/>
    <w:rsid w:val="00525266"/>
    <w:rsid w:val="005256C3"/>
    <w:rsid w:val="00526F3D"/>
    <w:rsid w:val="00537F01"/>
    <w:rsid w:val="00555A4A"/>
    <w:rsid w:val="00562836"/>
    <w:rsid w:val="00570AE3"/>
    <w:rsid w:val="00570B92"/>
    <w:rsid w:val="00571892"/>
    <w:rsid w:val="005769D7"/>
    <w:rsid w:val="00593226"/>
    <w:rsid w:val="005A5F11"/>
    <w:rsid w:val="005A6B16"/>
    <w:rsid w:val="005B2F47"/>
    <w:rsid w:val="005C2461"/>
    <w:rsid w:val="005D081E"/>
    <w:rsid w:val="005D31CD"/>
    <w:rsid w:val="005D7636"/>
    <w:rsid w:val="005E2D2C"/>
    <w:rsid w:val="0060235B"/>
    <w:rsid w:val="00610A24"/>
    <w:rsid w:val="00614913"/>
    <w:rsid w:val="00621047"/>
    <w:rsid w:val="00652801"/>
    <w:rsid w:val="006551C3"/>
    <w:rsid w:val="0065722A"/>
    <w:rsid w:val="006628DD"/>
    <w:rsid w:val="00693725"/>
    <w:rsid w:val="00693E60"/>
    <w:rsid w:val="006B180C"/>
    <w:rsid w:val="006B2C2C"/>
    <w:rsid w:val="006B785A"/>
    <w:rsid w:val="006C0C8D"/>
    <w:rsid w:val="006C1ABA"/>
    <w:rsid w:val="006C7C54"/>
    <w:rsid w:val="006E43C3"/>
    <w:rsid w:val="006E5504"/>
    <w:rsid w:val="006F08A4"/>
    <w:rsid w:val="006F09AB"/>
    <w:rsid w:val="006F760C"/>
    <w:rsid w:val="00720918"/>
    <w:rsid w:val="00724DFD"/>
    <w:rsid w:val="00742EC1"/>
    <w:rsid w:val="00750804"/>
    <w:rsid w:val="00764E63"/>
    <w:rsid w:val="00773262"/>
    <w:rsid w:val="007817D6"/>
    <w:rsid w:val="0078541A"/>
    <w:rsid w:val="00790551"/>
    <w:rsid w:val="00797D47"/>
    <w:rsid w:val="007A36EA"/>
    <w:rsid w:val="007A3C14"/>
    <w:rsid w:val="007B0BF6"/>
    <w:rsid w:val="007C44D2"/>
    <w:rsid w:val="007C5CDF"/>
    <w:rsid w:val="007F238E"/>
    <w:rsid w:val="007F6DB7"/>
    <w:rsid w:val="007F6F1B"/>
    <w:rsid w:val="00805AD4"/>
    <w:rsid w:val="00807515"/>
    <w:rsid w:val="0081226A"/>
    <w:rsid w:val="00832696"/>
    <w:rsid w:val="008340D8"/>
    <w:rsid w:val="00865A37"/>
    <w:rsid w:val="00871F5D"/>
    <w:rsid w:val="00873678"/>
    <w:rsid w:val="0087614C"/>
    <w:rsid w:val="0089148D"/>
    <w:rsid w:val="0089602F"/>
    <w:rsid w:val="008A6CF1"/>
    <w:rsid w:val="008B763B"/>
    <w:rsid w:val="008B7AC0"/>
    <w:rsid w:val="008C3102"/>
    <w:rsid w:val="008E4582"/>
    <w:rsid w:val="008F27D1"/>
    <w:rsid w:val="008F6C88"/>
    <w:rsid w:val="00906567"/>
    <w:rsid w:val="00906C7D"/>
    <w:rsid w:val="00912A9B"/>
    <w:rsid w:val="00917A64"/>
    <w:rsid w:val="00947AEE"/>
    <w:rsid w:val="00960F9A"/>
    <w:rsid w:val="00962250"/>
    <w:rsid w:val="009641A2"/>
    <w:rsid w:val="00965F0F"/>
    <w:rsid w:val="0097058B"/>
    <w:rsid w:val="00972FDD"/>
    <w:rsid w:val="00973884"/>
    <w:rsid w:val="00985334"/>
    <w:rsid w:val="009D0AEC"/>
    <w:rsid w:val="009D1FF3"/>
    <w:rsid w:val="009D26F5"/>
    <w:rsid w:val="009D3BA5"/>
    <w:rsid w:val="009D52C4"/>
    <w:rsid w:val="009E4424"/>
    <w:rsid w:val="009E6FC1"/>
    <w:rsid w:val="009F1178"/>
    <w:rsid w:val="009F2A73"/>
    <w:rsid w:val="00A12565"/>
    <w:rsid w:val="00A214CD"/>
    <w:rsid w:val="00A47226"/>
    <w:rsid w:val="00A4747D"/>
    <w:rsid w:val="00AA398B"/>
    <w:rsid w:val="00AA432F"/>
    <w:rsid w:val="00AC2167"/>
    <w:rsid w:val="00AC27AF"/>
    <w:rsid w:val="00AC732C"/>
    <w:rsid w:val="00AD1996"/>
    <w:rsid w:val="00AD1ABD"/>
    <w:rsid w:val="00AD6C6C"/>
    <w:rsid w:val="00AD6E1D"/>
    <w:rsid w:val="00AE0CF2"/>
    <w:rsid w:val="00AE106B"/>
    <w:rsid w:val="00AF445A"/>
    <w:rsid w:val="00B1512A"/>
    <w:rsid w:val="00B15513"/>
    <w:rsid w:val="00B24C97"/>
    <w:rsid w:val="00B26C38"/>
    <w:rsid w:val="00B40ACF"/>
    <w:rsid w:val="00B444C8"/>
    <w:rsid w:val="00B53CC3"/>
    <w:rsid w:val="00B57ACF"/>
    <w:rsid w:val="00B608E3"/>
    <w:rsid w:val="00BA3DFA"/>
    <w:rsid w:val="00BA44B5"/>
    <w:rsid w:val="00BA4B4F"/>
    <w:rsid w:val="00BA7E30"/>
    <w:rsid w:val="00BC74A2"/>
    <w:rsid w:val="00BD565D"/>
    <w:rsid w:val="00BD631F"/>
    <w:rsid w:val="00BD6DC4"/>
    <w:rsid w:val="00BE2638"/>
    <w:rsid w:val="00BF6D91"/>
    <w:rsid w:val="00C00646"/>
    <w:rsid w:val="00C116A5"/>
    <w:rsid w:val="00C15B46"/>
    <w:rsid w:val="00C327D3"/>
    <w:rsid w:val="00C513BF"/>
    <w:rsid w:val="00C515BE"/>
    <w:rsid w:val="00C529FE"/>
    <w:rsid w:val="00C556F9"/>
    <w:rsid w:val="00C849F0"/>
    <w:rsid w:val="00CA03E7"/>
    <w:rsid w:val="00CB245E"/>
    <w:rsid w:val="00CB4D82"/>
    <w:rsid w:val="00CC2ED1"/>
    <w:rsid w:val="00CC7480"/>
    <w:rsid w:val="00CD2E69"/>
    <w:rsid w:val="00CD4B50"/>
    <w:rsid w:val="00CE1887"/>
    <w:rsid w:val="00CE28B1"/>
    <w:rsid w:val="00CF3536"/>
    <w:rsid w:val="00D0681A"/>
    <w:rsid w:val="00D07BE0"/>
    <w:rsid w:val="00D334F9"/>
    <w:rsid w:val="00D350D9"/>
    <w:rsid w:val="00D376B3"/>
    <w:rsid w:val="00D4168A"/>
    <w:rsid w:val="00D47C6B"/>
    <w:rsid w:val="00D761B7"/>
    <w:rsid w:val="00D94234"/>
    <w:rsid w:val="00D975E5"/>
    <w:rsid w:val="00DC0CB3"/>
    <w:rsid w:val="00DC1F04"/>
    <w:rsid w:val="00DD2E69"/>
    <w:rsid w:val="00DF18FE"/>
    <w:rsid w:val="00DF5EFF"/>
    <w:rsid w:val="00E11CB6"/>
    <w:rsid w:val="00E34A0C"/>
    <w:rsid w:val="00E56439"/>
    <w:rsid w:val="00E72DD3"/>
    <w:rsid w:val="00E97899"/>
    <w:rsid w:val="00EA70BA"/>
    <w:rsid w:val="00EB17FE"/>
    <w:rsid w:val="00EB1CF1"/>
    <w:rsid w:val="00EB75A3"/>
    <w:rsid w:val="00EC12ED"/>
    <w:rsid w:val="00ED50F4"/>
    <w:rsid w:val="00ED5C2A"/>
    <w:rsid w:val="00EF1BEB"/>
    <w:rsid w:val="00EF400A"/>
    <w:rsid w:val="00F05745"/>
    <w:rsid w:val="00F41585"/>
    <w:rsid w:val="00F52C59"/>
    <w:rsid w:val="00F6234F"/>
    <w:rsid w:val="00F74E2A"/>
    <w:rsid w:val="00F7593A"/>
    <w:rsid w:val="00F8009C"/>
    <w:rsid w:val="00F8128A"/>
    <w:rsid w:val="00F91E44"/>
    <w:rsid w:val="00FA0320"/>
    <w:rsid w:val="00FA3390"/>
    <w:rsid w:val="00FB03D6"/>
    <w:rsid w:val="00FB469F"/>
    <w:rsid w:val="00FB4D56"/>
    <w:rsid w:val="00FB6AA6"/>
    <w:rsid w:val="00FD1463"/>
    <w:rsid w:val="00FE1657"/>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character" w:styleId="CommentReference">
    <w:name w:val="annotation reference"/>
    <w:basedOn w:val="DefaultParagraphFont"/>
    <w:uiPriority w:val="99"/>
    <w:semiHidden/>
    <w:unhideWhenUsed/>
    <w:rsid w:val="007C5CDF"/>
    <w:rPr>
      <w:sz w:val="16"/>
      <w:szCs w:val="16"/>
    </w:rPr>
  </w:style>
  <w:style w:type="paragraph" w:styleId="CommentText">
    <w:name w:val="annotation text"/>
    <w:basedOn w:val="Normal"/>
    <w:link w:val="CommentTextChar"/>
    <w:uiPriority w:val="99"/>
    <w:semiHidden/>
    <w:unhideWhenUsed/>
    <w:rsid w:val="007C5CDF"/>
    <w:rPr>
      <w:sz w:val="20"/>
      <w:szCs w:val="20"/>
    </w:rPr>
  </w:style>
  <w:style w:type="character" w:customStyle="1" w:styleId="CommentTextChar">
    <w:name w:val="Comment Text Char"/>
    <w:basedOn w:val="DefaultParagraphFont"/>
    <w:link w:val="CommentText"/>
    <w:uiPriority w:val="99"/>
    <w:semiHidden/>
    <w:rsid w:val="007C5CD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C5CDF"/>
    <w:rPr>
      <w:b/>
      <w:bCs/>
    </w:rPr>
  </w:style>
  <w:style w:type="character" w:customStyle="1" w:styleId="CommentSubjectChar">
    <w:name w:val="Comment Subject Char"/>
    <w:basedOn w:val="CommentTextChar"/>
    <w:link w:val="CommentSubject"/>
    <w:uiPriority w:val="99"/>
    <w:semiHidden/>
    <w:rsid w:val="007C5CDF"/>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24474251">
      <w:bodyDiv w:val="1"/>
      <w:marLeft w:val="0"/>
      <w:marRight w:val="0"/>
      <w:marTop w:val="0"/>
      <w:marBottom w:val="0"/>
      <w:divBdr>
        <w:top w:val="none" w:sz="0" w:space="0" w:color="auto"/>
        <w:left w:val="none" w:sz="0" w:space="0" w:color="auto"/>
        <w:bottom w:val="none" w:sz="0" w:space="0" w:color="auto"/>
        <w:right w:val="none" w:sz="0" w:space="0" w:color="auto"/>
      </w:divBdr>
    </w:div>
    <w:div w:id="165676106">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03893816">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1290168144">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s.usgs.gov/sir/2014/5106/pdf/sir20145106.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tress.wa.gov/ecy/publications/documents/1511006.pdf" TargetMode="Externa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0E080468BFB445ABA5F9455BB3E4A6" ma:contentTypeVersion="1" ma:contentTypeDescription="Create a new document." ma:contentTypeScope="" ma:versionID="d4b62adc9f1f0f046634e507c220a74c">
  <xsd:schema xmlns:xsd="http://www.w3.org/2001/XMLSchema" xmlns:xs="http://www.w3.org/2001/XMLSchema" xmlns:p="http://schemas.microsoft.com/office/2006/metadata/properties" xmlns:ns2="fa9a4940-7a8b-4399-b0b9-597dee2fdc40" targetNamespace="http://schemas.microsoft.com/office/2006/metadata/properties" ma:root="true" ma:fieldsID="3895f71decfc3b28b040ef462d1ccaab" ns2:_="">
    <xsd:import namespace="fa9a4940-7a8b-4399-b0b9-597dee2fdc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732E-A86F-458E-A4B0-42D7BF9F5779}">
  <ds:schemaRefs>
    <ds:schemaRef ds:uri="http://purl.org/dc/elements/1.1/"/>
    <ds:schemaRef ds:uri="http://schemas.openxmlformats.org/package/2006/metadata/core-properties"/>
    <ds:schemaRef ds:uri="http://schemas.microsoft.com/office/2006/documentManagement/types"/>
    <ds:schemaRef ds:uri="http://www.w3.org/XML/1998/namespace"/>
    <ds:schemaRef ds:uri="fa9a4940-7a8b-4399-b0b9-597dee2fdc40"/>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3.xml><?xml version="1.0" encoding="utf-8"?>
<ds:datastoreItem xmlns:ds="http://schemas.openxmlformats.org/officeDocument/2006/customXml" ds:itemID="{F3AC02D6-B149-48C3-8414-EFDEC8312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a4940-7a8b-4399-b0b9-597dee2f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59E4AD-98C6-4BB7-BA61-A13F65397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Draft</vt:lpstr>
    </vt:vector>
  </TitlesOfParts>
  <Company>WA Department of Ecology</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March agenda</dc:subject>
  <dc:creator>Barb Macgregor</dc:creator>
  <cp:keywords/>
  <dc:description/>
  <cp:lastModifiedBy>Vynne McKinstry, Stacy J. (ECY)</cp:lastModifiedBy>
  <cp:revision>5</cp:revision>
  <cp:lastPrinted>2018-08-22T19:01:00Z</cp:lastPrinted>
  <dcterms:created xsi:type="dcterms:W3CDTF">2019-08-22T04:37:00Z</dcterms:created>
  <dcterms:modified xsi:type="dcterms:W3CDTF">2019-08-22T14:32:00Z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0x010100250E080468BFB445ABA5F9455BB3E4A6</vt:lpwstr>
  </property>
</Properties>
</file>