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6A90BF4A"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D05963">
        <w:rPr>
          <w:sz w:val="36"/>
          <w:szCs w:val="28"/>
        </w:rPr>
        <w:t>M</w:t>
      </w:r>
      <w:r w:rsidR="00053412">
        <w:rPr>
          <w:sz w:val="36"/>
          <w:szCs w:val="28"/>
        </w:rPr>
        <w:t>eeting Notes</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4E07621C" w:rsidR="00FF7C94" w:rsidRPr="009E4424" w:rsidRDefault="00B1512A" w:rsidP="00246EA3">
      <w:pPr>
        <w:pStyle w:val="Sub-titlestyle"/>
        <w:rPr>
          <w:b/>
          <w:color w:val="44688F"/>
        </w:rPr>
      </w:pPr>
      <w:r>
        <w:rPr>
          <w:b/>
          <w:color w:val="44688F"/>
        </w:rPr>
        <w:t xml:space="preserve">Technical </w:t>
      </w:r>
      <w:r w:rsidR="009D3BA5">
        <w:rPr>
          <w:b/>
          <w:color w:val="44688F"/>
        </w:rPr>
        <w:t>Workgroup</w:t>
      </w:r>
      <w:r w:rsidR="00CC2ED1">
        <w:rPr>
          <w:b/>
          <w:color w:val="44688F"/>
        </w:rPr>
        <w:t xml:space="preserve"> M</w:t>
      </w:r>
      <w:r w:rsidR="00FF7C94" w:rsidRPr="009E4424">
        <w:rPr>
          <w:b/>
          <w:color w:val="44688F"/>
        </w:rPr>
        <w:t>eeting</w:t>
      </w:r>
      <w:r w:rsidR="00053412">
        <w:rPr>
          <w:b/>
          <w:color w:val="44688F"/>
        </w:rPr>
        <w:t xml:space="preserve"> </w:t>
      </w:r>
    </w:p>
    <w:p w14:paraId="27FABF45" w14:textId="3D0A39F8" w:rsidR="009D3BA5" w:rsidRDefault="00831DB4" w:rsidP="009D3BA5">
      <w:pPr>
        <w:pStyle w:val="Sub-titlestyle"/>
        <w:rPr>
          <w:color w:val="44688F"/>
        </w:rPr>
      </w:pPr>
      <w:r>
        <w:rPr>
          <w:color w:val="44688F"/>
        </w:rPr>
        <w:t>September 11</w:t>
      </w:r>
      <w:r w:rsidR="009D3BA5" w:rsidRPr="009E4424">
        <w:rPr>
          <w:color w:val="44688F"/>
        </w:rPr>
        <w:t xml:space="preserve">, 2019 | </w:t>
      </w:r>
      <w:r>
        <w:rPr>
          <w:color w:val="44688F"/>
        </w:rPr>
        <w:t>1:00 p.m. -3:00 p.m.</w:t>
      </w:r>
      <w:r w:rsidR="009D3BA5">
        <w:rPr>
          <w:color w:val="44688F"/>
        </w:rPr>
        <w:t xml:space="preserve"> </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65DC9905">
                <wp:simplePos x="0" y="0"/>
                <wp:positionH relativeFrom="page">
                  <wp:posOffset>0</wp:posOffset>
                </wp:positionH>
                <wp:positionV relativeFrom="paragraph">
                  <wp:posOffset>142240</wp:posOffset>
                </wp:positionV>
                <wp:extent cx="7753350" cy="8382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8382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8167E" id="Rectangle 2" o:spid="_x0000_s1026" alt="Title: Blue band - Description: decorative" style="position:absolute;margin-left:0;margin-top:11.2pt;width:610.5pt;height: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AArwIAAKoFAAAOAAAAZHJzL2Uyb0RvYy54bWysVFFPGzEMfp+0/xDlfVxbWugqrqgDdZqE&#10;AAETz2ku6UXKxVmS9tr9+jnJ3cEY2sO0Plzj2P5sf7F9cXloNNkL5xWYko5PRpQIw6FSZlvS70/r&#10;T3NKfGCmYhqMKOlReHq5/PjhorULMYEadCUcQRDjF60taR2CXRSF57VomD8BKwwqJbiGBRTdtqgc&#10;axG90cVkNDorWnCVdcCF93h7nZV0mfClFDzcSelFILqkmFtIX5e+m/gtlhdssXXM1op3abB/yKJh&#10;ymDQAeqaBUZ2Tv0B1SjuwIMMJxyaAqRUXKQasJrx6E01jzWzItWC5Hg70OT/Hyy/3d87oqqSTigx&#10;rMEnekDSmNlqQfCqEp4jXZXg4FhQe4EcqqDR7IveCbLBl40cttYvEOrR3rtO8niMhByka+I/lkoO&#10;iffjwLs4BMLx8vx8dno6w+fhqJufzvFhI2jx4m2dD18FNCQeSuowxUQ329/4kE17kxjMg1bVWmmd&#10;BLfdXGlH9gx7YDo9m8/XHfpvZtpEYwPRLSPGmyJWlmtJp3DUItpp8yAk8obZT1ImqWPFEIdxLkwY&#10;Z1XNKpHDz0b466PHHo8eqdIEGJElxh+wO4DeMoP02DnLzj66itTwg/Pob4ll58EjRQYTBudGGXDv&#10;AWisqouc7XuSMjWRpQ1UR+wqB3ncvOVrhe92w3y4Zw7nC58ad0a4w4/U0JYUuhMlNbif791He2x7&#10;1FLS4ryW1P/YMYf9qL8ZHIjP4+k0DngSprPzCQrutWbzWmN2zRVgO4xxO1mejtE+6P4oHTTPuFpW&#10;MSqqmOEYu6Q8uF64CnmP4HLiYrVKZjjUloUb82h5BI+sxr58OjwzZ7vmDdj2t9DPNlu86eFsGz0N&#10;rHYBpEoN/sJrxzcuhNQ43fKKG+e1nKxeVuzyFwAAAP//AwBQSwMEFAAGAAgAAAAhACMOp2jbAAAA&#10;CAEAAA8AAABkcnMvZG93bnJldi54bWxMj0FPwzAMhe9I/IfISNxYulAmVJpOCFTEBTYG3LPGtBWN&#10;UyXZWv493glutp/9/L1yPbtBHDHE3pOG5SIDgdR421Or4eO9vroFEZMhawZPqOEHI6yr87PSFNZP&#10;9IbHXWoFm1AsjIYupbGQMjYdOhMXfkRi7csHZxK3oZU2mInN3SBVlq2kMz3xh86M+NBh8707OMaI&#10;12lDW6zl8+PTdgr2c/XyWmt9eTHf34FIOKe/ZTjh8w1UzLT3B7JRDBo4SNKgVA7ipCq15Mmeq5s8&#10;B1mV8n+A6hcAAP//AwBQSwECLQAUAAYACAAAACEAtoM4kv4AAADhAQAAEwAAAAAAAAAAAAAAAAAA&#10;AAAAW0NvbnRlbnRfVHlwZXNdLnhtbFBLAQItABQABgAIAAAAIQA4/SH/1gAAAJQBAAALAAAAAAAA&#10;AAAAAAAAAC8BAABfcmVscy8ucmVsc1BLAQItABQABgAIAAAAIQCB0sAArwIAAKoFAAAOAAAAAAAA&#10;AAAAAAAAAC4CAABkcnMvZTJvRG9jLnhtbFBLAQItABQABgAIAAAAIQAjDqdo2wAAAAgBAAAPAAAA&#10;AAAAAAAAAAAAAAkFAABkcnMvZG93bnJldi54bWxQSwUGAAAAAAQABADzAAAAEQ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3D0AAA8C" w14:textId="5AACDE7B" w:rsidR="00BA3DFA" w:rsidRDefault="00B1512A" w:rsidP="00525266">
      <w:pPr>
        <w:rPr>
          <w:rFonts w:ascii="Franklin Gothic Book" w:hAnsi="Franklin Gothic Book"/>
          <w:color w:val="FFFFFF" w:themeColor="background1"/>
        </w:rPr>
      </w:pPr>
      <w:r>
        <w:rPr>
          <w:rFonts w:ascii="Franklin Gothic Book" w:hAnsi="Franklin Gothic Book"/>
          <w:color w:val="FFFFFF" w:themeColor="background1"/>
        </w:rPr>
        <w:t>Webex</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56A3FDAD"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6C47B587" w14:textId="4E93D62A" w:rsidR="002422A7" w:rsidRDefault="002422A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Consumptive Use Workplan</w:t>
      </w:r>
    </w:p>
    <w:p w14:paraId="3E13B779" w14:textId="157276B9" w:rsidR="00972FDD" w:rsidRPr="00C15B46" w:rsidRDefault="00972FDD" w:rsidP="000A732B">
      <w:pPr>
        <w:rPr>
          <w:rFonts w:ascii="Franklin Gothic Book" w:hAnsi="Franklin Gothic Book"/>
          <w:color w:val="FFFFFF" w:themeColor="background1"/>
          <w:sz w:val="21"/>
          <w:szCs w:val="21"/>
        </w:rPr>
        <w:sectPr w:rsidR="00972FDD" w:rsidRPr="00C15B46" w:rsidSect="00150AFC">
          <w:type w:val="continuous"/>
          <w:pgSz w:w="12240" w:h="15840"/>
          <w:pgMar w:top="1080" w:right="1440" w:bottom="720" w:left="1440" w:header="720" w:footer="720" w:gutter="0"/>
          <w:cols w:num="3" w:space="720"/>
          <w:docGrid w:linePitch="360"/>
        </w:sectPr>
      </w:pPr>
    </w:p>
    <w:p w14:paraId="15319959" w14:textId="77777777" w:rsidR="009D3BA5" w:rsidRDefault="009D3BA5" w:rsidP="000A732B">
      <w:pPr>
        <w:pStyle w:val="Heading1"/>
        <w:spacing w:before="0"/>
        <w:rPr>
          <w:sz w:val="23"/>
          <w:szCs w:val="23"/>
        </w:rPr>
      </w:pPr>
    </w:p>
    <w:p w14:paraId="39F93DAB" w14:textId="77777777" w:rsidR="00BB6B70" w:rsidRDefault="00BB6B70" w:rsidP="005B2F47">
      <w:pPr>
        <w:pStyle w:val="Heading1"/>
        <w:spacing w:before="0"/>
        <w:rPr>
          <w:sz w:val="23"/>
          <w:szCs w:val="23"/>
        </w:rPr>
      </w:pPr>
    </w:p>
    <w:p w14:paraId="171C20CF" w14:textId="53D9623C" w:rsidR="00A47A67" w:rsidRDefault="00A47A67" w:rsidP="005B2F47">
      <w:pPr>
        <w:pStyle w:val="Heading1"/>
        <w:spacing w:before="0"/>
        <w:rPr>
          <w:sz w:val="23"/>
          <w:szCs w:val="23"/>
        </w:rPr>
      </w:pPr>
      <w:r>
        <w:rPr>
          <w:sz w:val="23"/>
          <w:szCs w:val="23"/>
        </w:rPr>
        <w:t xml:space="preserve">Participants </w:t>
      </w:r>
    </w:p>
    <w:p w14:paraId="559A6A4B" w14:textId="2C102F53" w:rsidR="00A47A67" w:rsidRPr="005B5CD4" w:rsidRDefault="00A47A67" w:rsidP="00A47A67">
      <w:r w:rsidRPr="005B5CD4">
        <w:t>Alison O</w:t>
      </w:r>
      <w:r w:rsidR="00F03C43">
        <w:t>’S</w:t>
      </w:r>
      <w:r w:rsidRPr="005B5CD4">
        <w:t>ullivan</w:t>
      </w:r>
      <w:r w:rsidR="00F03C43">
        <w:t xml:space="preserve">, </w:t>
      </w:r>
      <w:r w:rsidRPr="005B5CD4">
        <w:t>Austin Jennings</w:t>
      </w:r>
      <w:r w:rsidR="00F03C43">
        <w:t xml:space="preserve">, Brittany </w:t>
      </w:r>
      <w:r w:rsidR="00625C2C">
        <w:t>Gordon</w:t>
      </w:r>
      <w:r w:rsidR="00F03C43">
        <w:t xml:space="preserve">, </w:t>
      </w:r>
      <w:r w:rsidRPr="005B5CD4">
        <w:t>David Nash</w:t>
      </w:r>
      <w:r w:rsidR="00F03C43">
        <w:t xml:space="preserve">, </w:t>
      </w:r>
      <w:r w:rsidRPr="005B5CD4">
        <w:t>Eric Ferguson</w:t>
      </w:r>
      <w:r w:rsidR="00F03C43">
        <w:t xml:space="preserve">, </w:t>
      </w:r>
      <w:r w:rsidR="00625C2C" w:rsidRPr="005B5CD4">
        <w:t xml:space="preserve">Joe </w:t>
      </w:r>
      <w:r w:rsidRPr="005B5CD4">
        <w:t>Hovenkotter</w:t>
      </w:r>
      <w:r w:rsidR="00F03C43">
        <w:t xml:space="preserve">, </w:t>
      </w:r>
      <w:r w:rsidRPr="005B5CD4">
        <w:t>Joel Purdy</w:t>
      </w:r>
      <w:r w:rsidR="00F03C43">
        <w:t xml:space="preserve">, John O’Leary, </w:t>
      </w:r>
      <w:r w:rsidRPr="005B5CD4">
        <w:t>Paul Pickett</w:t>
      </w:r>
      <w:r w:rsidR="00F03C43">
        <w:t xml:space="preserve">, </w:t>
      </w:r>
      <w:r w:rsidRPr="005B5CD4">
        <w:t>Sam Phillips</w:t>
      </w:r>
      <w:r w:rsidR="00F03C43">
        <w:t>, Bob</w:t>
      </w:r>
      <w:r w:rsidR="00625C2C">
        <w:t xml:space="preserve"> Montgomery</w:t>
      </w:r>
      <w:r w:rsidR="00F03C43">
        <w:t xml:space="preserve">, John </w:t>
      </w:r>
      <w:r w:rsidRPr="005B5CD4">
        <w:t>Covert</w:t>
      </w:r>
      <w:r w:rsidR="00F03C43">
        <w:t xml:space="preserve">, </w:t>
      </w:r>
      <w:r w:rsidR="00625C2C">
        <w:t>Zach Holt</w:t>
      </w:r>
      <w:r w:rsidR="00F03C43">
        <w:t xml:space="preserve">, </w:t>
      </w:r>
      <w:r w:rsidR="00625C2C" w:rsidRPr="005B5CD4">
        <w:t xml:space="preserve">Paulina </w:t>
      </w:r>
      <w:r w:rsidRPr="005B5CD4">
        <w:t>Levy</w:t>
      </w:r>
      <w:r w:rsidR="00F03C43">
        <w:t>, Stacy Vynne</w:t>
      </w:r>
    </w:p>
    <w:p w14:paraId="317491CF" w14:textId="77777777" w:rsidR="005B2F47" w:rsidRPr="00C15B46" w:rsidRDefault="005B2F47" w:rsidP="005B2F47">
      <w:pPr>
        <w:pStyle w:val="Heading1"/>
        <w:rPr>
          <w:sz w:val="23"/>
          <w:szCs w:val="23"/>
        </w:rPr>
      </w:pPr>
      <w:r>
        <w:rPr>
          <w:sz w:val="23"/>
          <w:szCs w:val="23"/>
        </w:rPr>
        <w:t xml:space="preserve">Growth Projections </w:t>
      </w:r>
    </w:p>
    <w:p w14:paraId="2CA254AB" w14:textId="72FC4E5F" w:rsidR="00625C2C" w:rsidRDefault="00F03C43" w:rsidP="00F03C43">
      <w:pPr>
        <w:pStyle w:val="Normal1style"/>
        <w:tabs>
          <w:tab w:val="left" w:pos="6120"/>
        </w:tabs>
        <w:spacing w:before="120"/>
        <w:rPr>
          <w:bCs/>
          <w:color w:val="000000" w:themeColor="text1"/>
          <w:sz w:val="20"/>
        </w:rPr>
      </w:pPr>
      <w:r>
        <w:rPr>
          <w:bCs/>
          <w:color w:val="000000" w:themeColor="text1"/>
          <w:sz w:val="20"/>
        </w:rPr>
        <w:t>Stacy provided a quick d</w:t>
      </w:r>
      <w:r w:rsidR="0018778C">
        <w:rPr>
          <w:bCs/>
          <w:color w:val="000000" w:themeColor="text1"/>
          <w:sz w:val="20"/>
        </w:rPr>
        <w:t xml:space="preserve">ebrief </w:t>
      </w:r>
      <w:r>
        <w:rPr>
          <w:bCs/>
          <w:color w:val="000000" w:themeColor="text1"/>
          <w:sz w:val="20"/>
        </w:rPr>
        <w:t xml:space="preserve">on the </w:t>
      </w:r>
      <w:r w:rsidR="0018778C">
        <w:rPr>
          <w:bCs/>
          <w:color w:val="000000" w:themeColor="text1"/>
          <w:sz w:val="20"/>
        </w:rPr>
        <w:t>WRIA 15 committee meeting</w:t>
      </w:r>
      <w:r>
        <w:rPr>
          <w:bCs/>
          <w:color w:val="000000" w:themeColor="text1"/>
          <w:sz w:val="20"/>
        </w:rPr>
        <w:t xml:space="preserve">. </w:t>
      </w:r>
      <w:r w:rsidR="009B2F79">
        <w:rPr>
          <w:bCs/>
          <w:color w:val="000000" w:themeColor="text1"/>
          <w:sz w:val="20"/>
        </w:rPr>
        <w:t xml:space="preserve">HDR presented </w:t>
      </w:r>
      <w:r w:rsidR="00625C2C">
        <w:rPr>
          <w:bCs/>
          <w:color w:val="000000" w:themeColor="text1"/>
          <w:sz w:val="20"/>
        </w:rPr>
        <w:t xml:space="preserve">the methodology for calculating the potential for new permit-exempt </w:t>
      </w:r>
      <w:r w:rsidR="00213817">
        <w:rPr>
          <w:bCs/>
          <w:color w:val="000000" w:themeColor="text1"/>
          <w:sz w:val="20"/>
        </w:rPr>
        <w:t xml:space="preserve">(PE) </w:t>
      </w:r>
      <w:r w:rsidR="00625C2C">
        <w:rPr>
          <w:bCs/>
          <w:color w:val="000000" w:themeColor="text1"/>
          <w:sz w:val="20"/>
        </w:rPr>
        <w:t>wells over the next twenty years</w:t>
      </w:r>
      <w:r w:rsidR="009B2F79">
        <w:rPr>
          <w:bCs/>
          <w:color w:val="000000" w:themeColor="text1"/>
          <w:sz w:val="20"/>
        </w:rPr>
        <w:t xml:space="preserve"> for each county.</w:t>
      </w:r>
    </w:p>
    <w:p w14:paraId="069D1261" w14:textId="66599C0C" w:rsidR="00625C2C" w:rsidRDefault="00625C2C" w:rsidP="009B2F79">
      <w:pPr>
        <w:pStyle w:val="Normal1style"/>
        <w:numPr>
          <w:ilvl w:val="0"/>
          <w:numId w:val="24"/>
        </w:numPr>
        <w:tabs>
          <w:tab w:val="left" w:pos="6120"/>
        </w:tabs>
        <w:spacing w:before="120"/>
        <w:rPr>
          <w:bCs/>
          <w:color w:val="000000" w:themeColor="text1"/>
          <w:sz w:val="20"/>
        </w:rPr>
      </w:pPr>
      <w:r>
        <w:rPr>
          <w:bCs/>
          <w:color w:val="000000" w:themeColor="text1"/>
          <w:sz w:val="20"/>
        </w:rPr>
        <w:t>Each county chose their own method based on available historical data for parcel use and building permits</w:t>
      </w:r>
      <w:r w:rsidR="009B2F79">
        <w:rPr>
          <w:bCs/>
          <w:color w:val="000000" w:themeColor="text1"/>
          <w:sz w:val="20"/>
        </w:rPr>
        <w:t>.</w:t>
      </w:r>
      <w:r>
        <w:rPr>
          <w:bCs/>
          <w:color w:val="000000" w:themeColor="text1"/>
          <w:sz w:val="20"/>
        </w:rPr>
        <w:t xml:space="preserve"> </w:t>
      </w:r>
      <w:r w:rsidR="00053412">
        <w:rPr>
          <w:bCs/>
          <w:color w:val="000000" w:themeColor="text1"/>
          <w:sz w:val="20"/>
        </w:rPr>
        <w:t xml:space="preserve"> Counties want to ensure alignment with their comprehensive plans.</w:t>
      </w:r>
    </w:p>
    <w:p w14:paraId="507348D9" w14:textId="2B88EF37" w:rsidR="00625C2C" w:rsidRDefault="00625C2C" w:rsidP="009B2F79">
      <w:pPr>
        <w:pStyle w:val="Normal1style"/>
        <w:numPr>
          <w:ilvl w:val="0"/>
          <w:numId w:val="24"/>
        </w:numPr>
        <w:tabs>
          <w:tab w:val="left" w:pos="6120"/>
        </w:tabs>
        <w:spacing w:before="120"/>
        <w:rPr>
          <w:bCs/>
          <w:color w:val="000000" w:themeColor="text1"/>
          <w:sz w:val="20"/>
        </w:rPr>
      </w:pPr>
      <w:r>
        <w:rPr>
          <w:bCs/>
          <w:color w:val="000000" w:themeColor="text1"/>
          <w:sz w:val="20"/>
        </w:rPr>
        <w:t xml:space="preserve">Committee members </w:t>
      </w:r>
      <w:r w:rsidR="00213817">
        <w:rPr>
          <w:bCs/>
          <w:color w:val="000000" w:themeColor="text1"/>
          <w:sz w:val="20"/>
        </w:rPr>
        <w:t>requested</w:t>
      </w:r>
      <w:r>
        <w:rPr>
          <w:bCs/>
          <w:color w:val="000000" w:themeColor="text1"/>
          <w:sz w:val="20"/>
        </w:rPr>
        <w:t xml:space="preserve"> time to validate whether the results </w:t>
      </w:r>
      <w:r w:rsidR="00213817">
        <w:rPr>
          <w:bCs/>
          <w:color w:val="000000" w:themeColor="text1"/>
          <w:sz w:val="20"/>
        </w:rPr>
        <w:t>were satisfactory</w:t>
      </w:r>
      <w:r>
        <w:rPr>
          <w:bCs/>
          <w:color w:val="000000" w:themeColor="text1"/>
          <w:sz w:val="20"/>
        </w:rPr>
        <w:t>, and whether additional scenarios should be run i</w:t>
      </w:r>
      <w:r w:rsidR="00213817">
        <w:rPr>
          <w:bCs/>
          <w:color w:val="000000" w:themeColor="text1"/>
          <w:sz w:val="20"/>
        </w:rPr>
        <w:t>n order to get a margin/ra</w:t>
      </w:r>
      <w:r w:rsidR="009B2F79">
        <w:rPr>
          <w:bCs/>
          <w:color w:val="000000" w:themeColor="text1"/>
          <w:sz w:val="20"/>
        </w:rPr>
        <w:t>nge of possible future PE wells.</w:t>
      </w:r>
    </w:p>
    <w:p w14:paraId="062DDE62" w14:textId="77777777" w:rsidR="00E76467" w:rsidRDefault="00E76467" w:rsidP="009B2F79">
      <w:pPr>
        <w:pStyle w:val="Normal1style"/>
        <w:tabs>
          <w:tab w:val="left" w:pos="6120"/>
        </w:tabs>
        <w:spacing w:before="120"/>
        <w:rPr>
          <w:bCs/>
          <w:color w:val="000000" w:themeColor="text1"/>
          <w:sz w:val="20"/>
        </w:rPr>
      </w:pPr>
    </w:p>
    <w:p w14:paraId="5DAB95E9" w14:textId="35795F32" w:rsidR="00E76467" w:rsidRPr="00E76467" w:rsidRDefault="00E76467" w:rsidP="00E76467">
      <w:pPr>
        <w:pStyle w:val="Normal1style"/>
        <w:tabs>
          <w:tab w:val="left" w:pos="6120"/>
        </w:tabs>
        <w:spacing w:before="120"/>
        <w:rPr>
          <w:bCs/>
          <w:sz w:val="20"/>
        </w:rPr>
      </w:pPr>
      <w:r>
        <w:rPr>
          <w:bCs/>
          <w:color w:val="000000" w:themeColor="text1"/>
          <w:sz w:val="20"/>
        </w:rPr>
        <w:t xml:space="preserve">Eric Ferguson from King County presented the Vashon-Maury 20 year potential parcels for future growth in </w:t>
      </w:r>
      <w:r w:rsidRPr="00E76467">
        <w:rPr>
          <w:bCs/>
          <w:sz w:val="20"/>
        </w:rPr>
        <w:t xml:space="preserve">unincorporated King County. </w:t>
      </w:r>
      <w:r w:rsidRPr="00E76467">
        <w:t>The data provided are summarized by stream basin since Vashon-Maury Island is consider its own sub-basin.</w:t>
      </w:r>
      <w:r w:rsidR="00053412">
        <w:t xml:space="preserve"> King County anticipates 383 parcels available for PE wells over the next 20 years.</w:t>
      </w:r>
    </w:p>
    <w:p w14:paraId="1AA30136" w14:textId="77777777" w:rsidR="00E76467" w:rsidRPr="00E76467" w:rsidRDefault="00E76467" w:rsidP="00E76467"/>
    <w:p w14:paraId="7A7227DD" w14:textId="7424FACB" w:rsidR="00E76467" w:rsidRPr="00E96901" w:rsidRDefault="00E76467" w:rsidP="00E76467">
      <w:pPr>
        <w:rPr>
          <w:sz w:val="20"/>
          <w:szCs w:val="20"/>
        </w:rPr>
      </w:pPr>
      <w:r w:rsidRPr="00E96901">
        <w:rPr>
          <w:sz w:val="20"/>
          <w:szCs w:val="20"/>
        </w:rPr>
        <w:t>Short description of</w:t>
      </w:r>
      <w:r w:rsidRPr="00E96901">
        <w:rPr>
          <w:sz w:val="20"/>
          <w:szCs w:val="20"/>
        </w:rPr>
        <w:t xml:space="preserve"> King County’s</w:t>
      </w:r>
      <w:r w:rsidRPr="00E96901">
        <w:rPr>
          <w:sz w:val="20"/>
          <w:szCs w:val="20"/>
        </w:rPr>
        <w:t xml:space="preserve"> work</w:t>
      </w:r>
      <w:r w:rsidRPr="00E96901">
        <w:rPr>
          <w:sz w:val="20"/>
          <w:szCs w:val="20"/>
        </w:rPr>
        <w:t xml:space="preserve"> (Eric can provide a more detailed written summary)</w:t>
      </w:r>
      <w:r w:rsidRPr="00E96901">
        <w:rPr>
          <w:sz w:val="20"/>
          <w:szCs w:val="20"/>
        </w:rPr>
        <w:t>:</w:t>
      </w:r>
    </w:p>
    <w:p w14:paraId="087052C8" w14:textId="77777777" w:rsidR="00E76467" w:rsidRPr="00E96901" w:rsidRDefault="00E76467" w:rsidP="00E96901">
      <w:pPr>
        <w:ind w:left="450"/>
        <w:rPr>
          <w:sz w:val="20"/>
          <w:szCs w:val="20"/>
        </w:rPr>
      </w:pPr>
      <w:r w:rsidRPr="00E96901">
        <w:rPr>
          <w:sz w:val="20"/>
          <w:szCs w:val="20"/>
        </w:rPr>
        <w:t>1.            Assessment of potential parcels by stream basin</w:t>
      </w:r>
    </w:p>
    <w:p w14:paraId="5824821F" w14:textId="77777777" w:rsidR="00E76467" w:rsidRPr="00E96901" w:rsidRDefault="00E76467" w:rsidP="00E96901">
      <w:pPr>
        <w:ind w:left="450"/>
        <w:rPr>
          <w:sz w:val="20"/>
          <w:szCs w:val="20"/>
        </w:rPr>
      </w:pPr>
      <w:r w:rsidRPr="00E96901">
        <w:rPr>
          <w:sz w:val="20"/>
          <w:szCs w:val="20"/>
        </w:rPr>
        <w:t xml:space="preserve">2.            The centroids of the parcels from each stream basin were determined to be ‘inside’ or ‘outside’ water district boundaries. </w:t>
      </w:r>
    </w:p>
    <w:p w14:paraId="0BA0B356" w14:textId="77777777" w:rsidR="00E76467" w:rsidRPr="00E96901" w:rsidRDefault="00E76467" w:rsidP="00E96901">
      <w:pPr>
        <w:ind w:left="450"/>
        <w:rPr>
          <w:sz w:val="20"/>
          <w:szCs w:val="20"/>
        </w:rPr>
      </w:pPr>
      <w:r w:rsidRPr="00E96901">
        <w:rPr>
          <w:sz w:val="20"/>
          <w:szCs w:val="20"/>
        </w:rPr>
        <w:t>3.            Water Use projection by stream basin;</w:t>
      </w:r>
      <w:bookmarkStart w:id="0" w:name="_GoBack"/>
      <w:bookmarkEnd w:id="0"/>
    </w:p>
    <w:p w14:paraId="2F0C9614" w14:textId="77777777" w:rsidR="00E76467" w:rsidRPr="00E96901" w:rsidRDefault="00E76467" w:rsidP="00E96901">
      <w:pPr>
        <w:ind w:left="450" w:firstLine="720"/>
        <w:rPr>
          <w:sz w:val="20"/>
          <w:szCs w:val="20"/>
        </w:rPr>
      </w:pPr>
      <w:r w:rsidRPr="00E96901">
        <w:rPr>
          <w:sz w:val="20"/>
          <w:szCs w:val="20"/>
        </w:rPr>
        <w:t>a. Within the water district – public water connections were calculated based on historic rates.</w:t>
      </w:r>
    </w:p>
    <w:p w14:paraId="10E63AB6" w14:textId="77777777" w:rsidR="00E76467" w:rsidRPr="00E96901" w:rsidRDefault="00E76467" w:rsidP="004E1633">
      <w:pPr>
        <w:ind w:left="450" w:firstLine="900"/>
        <w:rPr>
          <w:sz w:val="20"/>
          <w:szCs w:val="20"/>
        </w:rPr>
      </w:pPr>
      <w:r w:rsidRPr="00E96901">
        <w:rPr>
          <w:sz w:val="20"/>
          <w:szCs w:val="20"/>
        </w:rPr>
        <w:t>i. Remaining number of parcels were assigned to be PE sourced</w:t>
      </w:r>
    </w:p>
    <w:p w14:paraId="6B67097E" w14:textId="77777777" w:rsidR="00E76467" w:rsidRPr="00E96901" w:rsidRDefault="00E76467" w:rsidP="00E96901">
      <w:pPr>
        <w:ind w:left="450" w:firstLine="720"/>
        <w:rPr>
          <w:color w:val="1F497D"/>
          <w:sz w:val="20"/>
          <w:szCs w:val="20"/>
        </w:rPr>
      </w:pPr>
      <w:r w:rsidRPr="00E96901">
        <w:rPr>
          <w:sz w:val="20"/>
          <w:szCs w:val="20"/>
        </w:rPr>
        <w:t>b. PE Sourced parcels were calculated based on “outside” district boundaries plus the remaining parcels from above</w:t>
      </w:r>
      <w:r w:rsidRPr="00E96901">
        <w:rPr>
          <w:color w:val="1F497D"/>
          <w:sz w:val="20"/>
          <w:szCs w:val="20"/>
        </w:rPr>
        <w:t>.</w:t>
      </w:r>
    </w:p>
    <w:p w14:paraId="574C719A" w14:textId="77777777" w:rsidR="00E76467" w:rsidRDefault="00E76467" w:rsidP="009B2F79">
      <w:pPr>
        <w:pStyle w:val="Normal1style"/>
        <w:tabs>
          <w:tab w:val="left" w:pos="6120"/>
        </w:tabs>
        <w:spacing w:before="120"/>
        <w:rPr>
          <w:bCs/>
          <w:color w:val="000000" w:themeColor="text1"/>
          <w:sz w:val="20"/>
        </w:rPr>
      </w:pPr>
    </w:p>
    <w:p w14:paraId="058D53A1" w14:textId="28B9039C" w:rsidR="009B2F79" w:rsidRDefault="009B2F79" w:rsidP="009B2F79">
      <w:pPr>
        <w:pStyle w:val="Normal1style"/>
        <w:tabs>
          <w:tab w:val="left" w:pos="6120"/>
        </w:tabs>
        <w:spacing w:before="120"/>
        <w:rPr>
          <w:bCs/>
          <w:color w:val="000000" w:themeColor="text1"/>
          <w:sz w:val="20"/>
        </w:rPr>
      </w:pPr>
      <w:r>
        <w:rPr>
          <w:bCs/>
          <w:color w:val="000000" w:themeColor="text1"/>
          <w:sz w:val="20"/>
        </w:rPr>
        <w:t>Stacy presented</w:t>
      </w:r>
      <w:r w:rsidR="0018778C">
        <w:rPr>
          <w:bCs/>
          <w:color w:val="000000" w:themeColor="text1"/>
          <w:sz w:val="20"/>
        </w:rPr>
        <w:t xml:space="preserve"> </w:t>
      </w:r>
      <w:r>
        <w:rPr>
          <w:bCs/>
          <w:color w:val="000000" w:themeColor="text1"/>
          <w:sz w:val="20"/>
        </w:rPr>
        <w:t>a potential path forward for the growth projections: 1) keep growth projections based on county methods; 2) refinement of permit exempt well projections; 3) adaptive management component to track growth and adjust as necessary. Stacy would like the workgroup come to some agreement on a path forward recommendation to the committee.</w:t>
      </w:r>
    </w:p>
    <w:p w14:paraId="0D700DF0" w14:textId="0FB802BF" w:rsidR="008873E7" w:rsidRPr="00213817" w:rsidRDefault="00213817" w:rsidP="009B2F79">
      <w:pPr>
        <w:pStyle w:val="Normal1style"/>
        <w:numPr>
          <w:ilvl w:val="0"/>
          <w:numId w:val="24"/>
        </w:numPr>
        <w:tabs>
          <w:tab w:val="left" w:pos="6120"/>
        </w:tabs>
        <w:spacing w:before="120"/>
        <w:rPr>
          <w:bCs/>
          <w:color w:val="000000" w:themeColor="text1"/>
          <w:sz w:val="20"/>
        </w:rPr>
      </w:pPr>
      <w:r>
        <w:rPr>
          <w:bCs/>
          <w:color w:val="000000" w:themeColor="text1"/>
          <w:sz w:val="20"/>
        </w:rPr>
        <w:t>Some members</w:t>
      </w:r>
      <w:r w:rsidR="008873E7">
        <w:rPr>
          <w:bCs/>
          <w:color w:val="000000" w:themeColor="text1"/>
          <w:sz w:val="20"/>
        </w:rPr>
        <w:t xml:space="preserve"> would still like to see a safety </w:t>
      </w:r>
      <w:r>
        <w:rPr>
          <w:bCs/>
          <w:color w:val="000000" w:themeColor="text1"/>
          <w:sz w:val="20"/>
        </w:rPr>
        <w:t>range</w:t>
      </w:r>
      <w:r w:rsidR="009B2F79">
        <w:rPr>
          <w:bCs/>
          <w:color w:val="000000" w:themeColor="text1"/>
          <w:sz w:val="20"/>
        </w:rPr>
        <w:t xml:space="preserve"> (e.g 15-30%)</w:t>
      </w:r>
      <w:r w:rsidR="008873E7">
        <w:rPr>
          <w:bCs/>
          <w:color w:val="000000" w:themeColor="text1"/>
          <w:sz w:val="20"/>
        </w:rPr>
        <w:t xml:space="preserve"> </w:t>
      </w:r>
      <w:r>
        <w:rPr>
          <w:bCs/>
          <w:color w:val="000000" w:themeColor="text1"/>
          <w:sz w:val="20"/>
        </w:rPr>
        <w:t>in order to ensure selected projects and actions address conservative range of future PE wells.</w:t>
      </w:r>
    </w:p>
    <w:p w14:paraId="26D6B67E" w14:textId="214E19E7" w:rsidR="00C216A0" w:rsidRDefault="00213817" w:rsidP="009B2F79">
      <w:pPr>
        <w:pStyle w:val="Normal1style"/>
        <w:numPr>
          <w:ilvl w:val="0"/>
          <w:numId w:val="24"/>
        </w:numPr>
        <w:tabs>
          <w:tab w:val="left" w:pos="6120"/>
        </w:tabs>
        <w:spacing w:before="120"/>
        <w:rPr>
          <w:bCs/>
          <w:color w:val="000000" w:themeColor="text1"/>
          <w:sz w:val="20"/>
        </w:rPr>
      </w:pPr>
      <w:r>
        <w:rPr>
          <w:bCs/>
          <w:color w:val="000000" w:themeColor="text1"/>
          <w:sz w:val="20"/>
        </w:rPr>
        <w:t>Other members expressed confidence</w:t>
      </w:r>
      <w:r w:rsidR="008873E7">
        <w:rPr>
          <w:bCs/>
          <w:color w:val="000000" w:themeColor="text1"/>
          <w:sz w:val="20"/>
        </w:rPr>
        <w:t xml:space="preserve"> in the methodology for PE Potential </w:t>
      </w:r>
      <w:r w:rsidR="00C216A0">
        <w:rPr>
          <w:bCs/>
          <w:color w:val="000000" w:themeColor="text1"/>
          <w:sz w:val="20"/>
        </w:rPr>
        <w:t>– furthermore, they believe the results already are conservative estimates, and expect a much lower number of actual PE wells being constructed in the coming years</w:t>
      </w:r>
      <w:r w:rsidR="009B2F79">
        <w:rPr>
          <w:bCs/>
          <w:color w:val="000000" w:themeColor="text1"/>
          <w:sz w:val="20"/>
        </w:rPr>
        <w:t>.</w:t>
      </w:r>
      <w:r w:rsidR="00C216A0" w:rsidRPr="00C216A0">
        <w:rPr>
          <w:bCs/>
          <w:color w:val="000000" w:themeColor="text1"/>
          <w:sz w:val="20"/>
        </w:rPr>
        <w:t xml:space="preserve"> </w:t>
      </w:r>
    </w:p>
    <w:p w14:paraId="1C6A0225" w14:textId="4C447574" w:rsidR="00C216A0" w:rsidRDefault="00C216A0" w:rsidP="009B2F79">
      <w:pPr>
        <w:pStyle w:val="Normal1style"/>
        <w:numPr>
          <w:ilvl w:val="1"/>
          <w:numId w:val="24"/>
        </w:numPr>
        <w:tabs>
          <w:tab w:val="left" w:pos="6120"/>
        </w:tabs>
        <w:spacing w:before="120"/>
        <w:rPr>
          <w:bCs/>
          <w:color w:val="000000" w:themeColor="text1"/>
          <w:sz w:val="20"/>
        </w:rPr>
      </w:pPr>
      <w:r>
        <w:rPr>
          <w:bCs/>
          <w:color w:val="000000" w:themeColor="text1"/>
          <w:sz w:val="20"/>
        </w:rPr>
        <w:t>Some growth projections are exponential, and that is not realistically how the growth occurs in some locations</w:t>
      </w:r>
      <w:r w:rsidR="009B2F79">
        <w:rPr>
          <w:bCs/>
          <w:color w:val="000000" w:themeColor="text1"/>
          <w:sz w:val="20"/>
        </w:rPr>
        <w:t>.</w:t>
      </w:r>
      <w:r>
        <w:rPr>
          <w:bCs/>
          <w:color w:val="000000" w:themeColor="text1"/>
          <w:sz w:val="20"/>
        </w:rPr>
        <w:t xml:space="preserve"> </w:t>
      </w:r>
    </w:p>
    <w:p w14:paraId="74EE1FFD" w14:textId="795AC85E" w:rsidR="008873E7" w:rsidRPr="00C216A0" w:rsidRDefault="00C216A0" w:rsidP="009B2F79">
      <w:pPr>
        <w:pStyle w:val="Normal1style"/>
        <w:numPr>
          <w:ilvl w:val="1"/>
          <w:numId w:val="24"/>
        </w:numPr>
        <w:tabs>
          <w:tab w:val="left" w:pos="6120"/>
        </w:tabs>
        <w:spacing w:before="120"/>
        <w:rPr>
          <w:bCs/>
          <w:color w:val="000000" w:themeColor="text1"/>
          <w:sz w:val="20"/>
        </w:rPr>
      </w:pPr>
      <w:r>
        <w:rPr>
          <w:bCs/>
          <w:color w:val="000000" w:themeColor="text1"/>
          <w:sz w:val="20"/>
        </w:rPr>
        <w:t>In addition, ordinance limits were not considered, such as distance required to connect with a utility’s system</w:t>
      </w:r>
      <w:r w:rsidR="009B2F79">
        <w:rPr>
          <w:bCs/>
          <w:color w:val="000000" w:themeColor="text1"/>
          <w:sz w:val="20"/>
        </w:rPr>
        <w:t>.</w:t>
      </w:r>
    </w:p>
    <w:p w14:paraId="6707B859" w14:textId="16CA3C9B" w:rsidR="00FD2B19" w:rsidRDefault="009B2F79" w:rsidP="009B2F79">
      <w:pPr>
        <w:pStyle w:val="Normal1style"/>
        <w:numPr>
          <w:ilvl w:val="0"/>
          <w:numId w:val="24"/>
        </w:numPr>
        <w:tabs>
          <w:tab w:val="left" w:pos="6120"/>
        </w:tabs>
        <w:spacing w:before="120"/>
        <w:rPr>
          <w:bCs/>
          <w:color w:val="000000" w:themeColor="text1"/>
          <w:sz w:val="20"/>
        </w:rPr>
      </w:pPr>
      <w:r>
        <w:rPr>
          <w:bCs/>
          <w:color w:val="000000" w:themeColor="text1"/>
          <w:sz w:val="20"/>
        </w:rPr>
        <w:lastRenderedPageBreak/>
        <w:t>Committee members are still interested in a ‘deep dive’ into the growth projections and heat maps to better understand the data before having confidence in agreement on a path forward.</w:t>
      </w:r>
      <w:r w:rsidR="00716B3F">
        <w:rPr>
          <w:bCs/>
          <w:color w:val="000000" w:themeColor="text1"/>
          <w:sz w:val="20"/>
        </w:rPr>
        <w:t xml:space="preserve"> Stacy is working with HDR on their availability and then will send out potential dates.</w:t>
      </w:r>
    </w:p>
    <w:p w14:paraId="5E58D43A" w14:textId="26F81E79" w:rsidR="009B2F79" w:rsidRDefault="009B2F79" w:rsidP="009B2F79">
      <w:pPr>
        <w:pStyle w:val="Normal1style"/>
        <w:numPr>
          <w:ilvl w:val="0"/>
          <w:numId w:val="24"/>
        </w:numPr>
        <w:tabs>
          <w:tab w:val="left" w:pos="6120"/>
        </w:tabs>
        <w:spacing w:before="120"/>
        <w:rPr>
          <w:bCs/>
          <w:color w:val="000000" w:themeColor="text1"/>
          <w:sz w:val="20"/>
        </w:rPr>
      </w:pPr>
      <w:r>
        <w:rPr>
          <w:bCs/>
          <w:color w:val="000000" w:themeColor="text1"/>
          <w:sz w:val="20"/>
        </w:rPr>
        <w:t>With input from the counties, the workgroup came to some agreement of seeing growth and permit exempt well projections run under various scenarios:</w:t>
      </w:r>
    </w:p>
    <w:p w14:paraId="191DE32C" w14:textId="71148F32" w:rsidR="009B2F79" w:rsidRDefault="009B2F79" w:rsidP="009B2F79">
      <w:pPr>
        <w:pStyle w:val="Normal1style"/>
        <w:numPr>
          <w:ilvl w:val="1"/>
          <w:numId w:val="24"/>
        </w:numPr>
        <w:tabs>
          <w:tab w:val="left" w:pos="6120"/>
        </w:tabs>
        <w:spacing w:before="120"/>
        <w:rPr>
          <w:bCs/>
          <w:color w:val="000000" w:themeColor="text1"/>
          <w:sz w:val="20"/>
        </w:rPr>
      </w:pPr>
      <w:r>
        <w:rPr>
          <w:bCs/>
          <w:color w:val="000000" w:themeColor="text1"/>
          <w:sz w:val="20"/>
        </w:rPr>
        <w:t>Pierce Co:</w:t>
      </w:r>
      <w:r w:rsidR="007C1682">
        <w:rPr>
          <w:bCs/>
          <w:color w:val="000000" w:themeColor="text1"/>
          <w:sz w:val="20"/>
        </w:rPr>
        <w:t xml:space="preserve"> Low-Med-High range based on decadal analysis of PE wells</w:t>
      </w:r>
    </w:p>
    <w:p w14:paraId="679A229A" w14:textId="7B0A9E54" w:rsidR="009B2F79" w:rsidRDefault="009B2F79" w:rsidP="009B2F79">
      <w:pPr>
        <w:pStyle w:val="Normal1style"/>
        <w:numPr>
          <w:ilvl w:val="1"/>
          <w:numId w:val="24"/>
        </w:numPr>
        <w:tabs>
          <w:tab w:val="left" w:pos="6120"/>
        </w:tabs>
        <w:spacing w:before="120"/>
        <w:rPr>
          <w:bCs/>
          <w:color w:val="000000" w:themeColor="text1"/>
          <w:sz w:val="20"/>
        </w:rPr>
      </w:pPr>
      <w:r>
        <w:rPr>
          <w:bCs/>
          <w:color w:val="000000" w:themeColor="text1"/>
          <w:sz w:val="20"/>
        </w:rPr>
        <w:t>Mason Co:</w:t>
      </w:r>
      <w:r w:rsidR="007C1682">
        <w:rPr>
          <w:bCs/>
          <w:color w:val="000000" w:themeColor="text1"/>
          <w:sz w:val="20"/>
        </w:rPr>
        <w:t xml:space="preserve"> </w:t>
      </w:r>
      <w:r w:rsidR="007C1682">
        <w:rPr>
          <w:bCs/>
          <w:color w:val="000000" w:themeColor="text1"/>
          <w:sz w:val="20"/>
        </w:rPr>
        <w:t>Single number. Potential safety factor applied after consumptive use.</w:t>
      </w:r>
    </w:p>
    <w:p w14:paraId="335B6DBB" w14:textId="2614A72C" w:rsidR="009B2F79" w:rsidRDefault="009B2F79" w:rsidP="009B2F79">
      <w:pPr>
        <w:pStyle w:val="Normal1style"/>
        <w:numPr>
          <w:ilvl w:val="1"/>
          <w:numId w:val="24"/>
        </w:numPr>
        <w:tabs>
          <w:tab w:val="left" w:pos="6120"/>
        </w:tabs>
        <w:spacing w:before="120"/>
        <w:rPr>
          <w:bCs/>
          <w:color w:val="000000" w:themeColor="text1"/>
          <w:sz w:val="20"/>
        </w:rPr>
      </w:pPr>
      <w:r>
        <w:rPr>
          <w:bCs/>
          <w:color w:val="000000" w:themeColor="text1"/>
          <w:sz w:val="20"/>
        </w:rPr>
        <w:t>King Co:</w:t>
      </w:r>
      <w:r w:rsidR="007C1682">
        <w:rPr>
          <w:bCs/>
          <w:color w:val="000000" w:themeColor="text1"/>
          <w:sz w:val="20"/>
        </w:rPr>
        <w:t xml:space="preserve"> Single number. Potential safety factor applied after consumptive use.</w:t>
      </w:r>
    </w:p>
    <w:p w14:paraId="3587C499" w14:textId="203DDC06" w:rsidR="009B2F79" w:rsidRDefault="009B2F79" w:rsidP="009B2F79">
      <w:pPr>
        <w:pStyle w:val="Normal1style"/>
        <w:numPr>
          <w:ilvl w:val="1"/>
          <w:numId w:val="24"/>
        </w:numPr>
        <w:tabs>
          <w:tab w:val="left" w:pos="6120"/>
        </w:tabs>
        <w:spacing w:before="120"/>
        <w:rPr>
          <w:bCs/>
          <w:color w:val="000000" w:themeColor="text1"/>
          <w:sz w:val="20"/>
        </w:rPr>
      </w:pPr>
      <w:r>
        <w:rPr>
          <w:bCs/>
          <w:color w:val="000000" w:themeColor="text1"/>
          <w:sz w:val="20"/>
        </w:rPr>
        <w:t>Kitsap Co:</w:t>
      </w:r>
      <w:r w:rsidR="007C1682">
        <w:rPr>
          <w:bCs/>
          <w:color w:val="000000" w:themeColor="text1"/>
          <w:sz w:val="20"/>
        </w:rPr>
        <w:t xml:space="preserve"> Low-Med-High range based on 5% (for example) plus or minus projections.</w:t>
      </w:r>
    </w:p>
    <w:p w14:paraId="0C30EC6A" w14:textId="17106D9D" w:rsidR="009B2F79" w:rsidRPr="009B2F79" w:rsidRDefault="009B2F79" w:rsidP="009B2F79">
      <w:pPr>
        <w:pStyle w:val="Normal1style"/>
        <w:numPr>
          <w:ilvl w:val="0"/>
          <w:numId w:val="24"/>
        </w:numPr>
        <w:tabs>
          <w:tab w:val="left" w:pos="6120"/>
        </w:tabs>
        <w:spacing w:before="120"/>
        <w:rPr>
          <w:bCs/>
          <w:color w:val="000000" w:themeColor="text1"/>
          <w:sz w:val="20"/>
        </w:rPr>
      </w:pPr>
      <w:r>
        <w:rPr>
          <w:bCs/>
          <w:color w:val="000000" w:themeColor="text1"/>
          <w:sz w:val="20"/>
        </w:rPr>
        <w:t xml:space="preserve">The workgroup will meet again in </w:t>
      </w:r>
      <w:r w:rsidR="00716B3F">
        <w:rPr>
          <w:bCs/>
          <w:color w:val="000000" w:themeColor="text1"/>
          <w:sz w:val="20"/>
        </w:rPr>
        <w:t xml:space="preserve">late </w:t>
      </w:r>
      <w:r>
        <w:rPr>
          <w:bCs/>
          <w:color w:val="000000" w:themeColor="text1"/>
          <w:sz w:val="20"/>
        </w:rPr>
        <w:t>September once the data is available from HDR to inform the conversation.</w:t>
      </w:r>
    </w:p>
    <w:p w14:paraId="10E48BD1" w14:textId="77777777" w:rsidR="005B2F47" w:rsidRPr="00C15B46" w:rsidRDefault="005B2F47" w:rsidP="005B2F47">
      <w:pPr>
        <w:pStyle w:val="Heading1"/>
        <w:rPr>
          <w:sz w:val="23"/>
          <w:szCs w:val="23"/>
        </w:rPr>
      </w:pPr>
      <w:r>
        <w:rPr>
          <w:sz w:val="23"/>
          <w:szCs w:val="23"/>
        </w:rPr>
        <w:t>Consumptive Use Estimates</w:t>
      </w:r>
    </w:p>
    <w:p w14:paraId="07048E94" w14:textId="08D3D3C9" w:rsidR="004A19FC" w:rsidRDefault="004A19FC" w:rsidP="004A19FC">
      <w:pPr>
        <w:pStyle w:val="Normal1style"/>
        <w:tabs>
          <w:tab w:val="left" w:pos="6120"/>
        </w:tabs>
        <w:spacing w:before="120"/>
        <w:rPr>
          <w:bCs/>
          <w:color w:val="000000" w:themeColor="text1"/>
          <w:sz w:val="20"/>
        </w:rPr>
      </w:pPr>
      <w:r>
        <w:rPr>
          <w:bCs/>
          <w:color w:val="000000" w:themeColor="text1"/>
          <w:sz w:val="20"/>
        </w:rPr>
        <w:t xml:space="preserve">Bob provided an overview of the options for </w:t>
      </w:r>
      <w:r w:rsidR="00E76467">
        <w:rPr>
          <w:bCs/>
          <w:color w:val="000000" w:themeColor="text1"/>
          <w:sz w:val="20"/>
        </w:rPr>
        <w:t xml:space="preserve">indoor and outdoor </w:t>
      </w:r>
      <w:r>
        <w:rPr>
          <w:bCs/>
          <w:color w:val="000000" w:themeColor="text1"/>
          <w:sz w:val="20"/>
        </w:rPr>
        <w:t>consumptive use methodology:</w:t>
      </w:r>
    </w:p>
    <w:p w14:paraId="3943190B" w14:textId="227C195C" w:rsidR="004A19FC" w:rsidRDefault="004A19FC" w:rsidP="00257D44">
      <w:pPr>
        <w:pStyle w:val="Normal1style"/>
        <w:numPr>
          <w:ilvl w:val="0"/>
          <w:numId w:val="29"/>
        </w:numPr>
        <w:tabs>
          <w:tab w:val="left" w:pos="6120"/>
        </w:tabs>
        <w:spacing w:before="120"/>
        <w:rPr>
          <w:bCs/>
          <w:color w:val="000000" w:themeColor="text1"/>
          <w:sz w:val="20"/>
        </w:rPr>
      </w:pPr>
      <w:r>
        <w:rPr>
          <w:bCs/>
          <w:color w:val="000000" w:themeColor="text1"/>
          <w:sz w:val="20"/>
        </w:rPr>
        <w:t>Use the Ecology recommended method</w:t>
      </w:r>
    </w:p>
    <w:p w14:paraId="0DE5974C" w14:textId="701771F8" w:rsidR="004A19FC" w:rsidRDefault="004A19FC" w:rsidP="00257D44">
      <w:pPr>
        <w:pStyle w:val="Normal1style"/>
        <w:numPr>
          <w:ilvl w:val="0"/>
          <w:numId w:val="29"/>
        </w:numPr>
        <w:tabs>
          <w:tab w:val="left" w:pos="6120"/>
        </w:tabs>
        <w:spacing w:before="120"/>
        <w:rPr>
          <w:bCs/>
          <w:color w:val="000000" w:themeColor="text1"/>
          <w:sz w:val="20"/>
        </w:rPr>
      </w:pPr>
      <w:r>
        <w:rPr>
          <w:bCs/>
          <w:color w:val="000000" w:themeColor="text1"/>
          <w:sz w:val="20"/>
        </w:rPr>
        <w:t>Use data from metering by water purveyors</w:t>
      </w:r>
    </w:p>
    <w:p w14:paraId="4E7C34BF" w14:textId="34D9561E" w:rsidR="004A19FC" w:rsidRDefault="004A19FC" w:rsidP="00257D44">
      <w:pPr>
        <w:pStyle w:val="Normal1style"/>
        <w:numPr>
          <w:ilvl w:val="0"/>
          <w:numId w:val="29"/>
        </w:numPr>
        <w:tabs>
          <w:tab w:val="left" w:pos="6120"/>
        </w:tabs>
        <w:spacing w:before="120"/>
        <w:rPr>
          <w:bCs/>
          <w:color w:val="000000" w:themeColor="text1"/>
          <w:sz w:val="20"/>
        </w:rPr>
      </w:pPr>
      <w:r>
        <w:rPr>
          <w:bCs/>
          <w:color w:val="000000" w:themeColor="text1"/>
          <w:sz w:val="20"/>
        </w:rPr>
        <w:t>Use data from other local resources (e.g. USGS Groundwater Model)</w:t>
      </w:r>
    </w:p>
    <w:p w14:paraId="10C99B89" w14:textId="1994E5A1" w:rsidR="00257D44" w:rsidRDefault="00257D44" w:rsidP="00257D44">
      <w:pPr>
        <w:pStyle w:val="Normal1style"/>
        <w:numPr>
          <w:ilvl w:val="0"/>
          <w:numId w:val="29"/>
        </w:numPr>
        <w:tabs>
          <w:tab w:val="left" w:pos="6120"/>
        </w:tabs>
        <w:spacing w:before="120"/>
        <w:rPr>
          <w:bCs/>
          <w:color w:val="000000" w:themeColor="text1"/>
          <w:sz w:val="20"/>
        </w:rPr>
      </w:pPr>
      <w:r>
        <w:rPr>
          <w:bCs/>
          <w:color w:val="000000" w:themeColor="text1"/>
          <w:sz w:val="20"/>
        </w:rPr>
        <w:t>All or combo of the above</w:t>
      </w:r>
    </w:p>
    <w:p w14:paraId="7272717A" w14:textId="41706C15" w:rsidR="004A19FC" w:rsidRDefault="004A19FC" w:rsidP="004A19FC">
      <w:pPr>
        <w:pStyle w:val="Normal1style"/>
        <w:tabs>
          <w:tab w:val="left" w:pos="6120"/>
        </w:tabs>
        <w:spacing w:before="120"/>
        <w:rPr>
          <w:bCs/>
          <w:color w:val="000000" w:themeColor="text1"/>
          <w:sz w:val="20"/>
        </w:rPr>
      </w:pPr>
      <w:r>
        <w:rPr>
          <w:bCs/>
          <w:color w:val="000000" w:themeColor="text1"/>
          <w:sz w:val="20"/>
        </w:rPr>
        <w:t xml:space="preserve">KPUD metering data is available and HDR is looking into metering data from water purveyors in other counties. The workgroup discussed looking at all 3 options as a potential starting range. </w:t>
      </w:r>
    </w:p>
    <w:p w14:paraId="10EF45F6" w14:textId="5E6C8A32" w:rsidR="00E76467" w:rsidRDefault="00E76467" w:rsidP="004A19FC">
      <w:pPr>
        <w:pStyle w:val="Normal1style"/>
        <w:tabs>
          <w:tab w:val="left" w:pos="6120"/>
        </w:tabs>
        <w:spacing w:before="120"/>
        <w:rPr>
          <w:bCs/>
          <w:color w:val="000000" w:themeColor="text1"/>
          <w:sz w:val="20"/>
        </w:rPr>
      </w:pPr>
    </w:p>
    <w:p w14:paraId="04FE8865" w14:textId="5E49CAA1" w:rsidR="00E76467" w:rsidRDefault="00E76467" w:rsidP="004A19FC">
      <w:pPr>
        <w:pStyle w:val="Normal1style"/>
        <w:tabs>
          <w:tab w:val="left" w:pos="6120"/>
        </w:tabs>
        <w:spacing w:before="120"/>
        <w:rPr>
          <w:bCs/>
          <w:color w:val="000000" w:themeColor="text1"/>
          <w:sz w:val="20"/>
        </w:rPr>
      </w:pPr>
      <w:r>
        <w:rPr>
          <w:bCs/>
          <w:color w:val="000000" w:themeColor="text1"/>
          <w:sz w:val="20"/>
        </w:rPr>
        <w:t>Bob talked through the methodology for outdoor irrigation parcel selection and analysis. HDR is working on writing up the methodology</w:t>
      </w:r>
      <w:r w:rsidR="00257D44">
        <w:rPr>
          <w:bCs/>
          <w:color w:val="000000" w:themeColor="text1"/>
          <w:sz w:val="20"/>
        </w:rPr>
        <w:t xml:space="preserve">, which </w:t>
      </w:r>
      <w:r w:rsidR="00716B3F">
        <w:rPr>
          <w:bCs/>
          <w:color w:val="000000" w:themeColor="text1"/>
          <w:sz w:val="20"/>
        </w:rPr>
        <w:t>Stacy will share</w:t>
      </w:r>
      <w:r w:rsidR="00257D44">
        <w:rPr>
          <w:bCs/>
          <w:color w:val="000000" w:themeColor="text1"/>
          <w:sz w:val="20"/>
        </w:rPr>
        <w:t xml:space="preserve"> with the workgroup for input. HDR will consider guidelines for analyzing irrigated and non-irrigated areas of the property as well as property value. Group members recommended Google Earth for assessing if the area was historically irrigated.  </w:t>
      </w:r>
      <w:r w:rsidR="00716B3F">
        <w:rPr>
          <w:bCs/>
          <w:color w:val="000000" w:themeColor="text1"/>
          <w:sz w:val="20"/>
        </w:rPr>
        <w:t xml:space="preserve">Note that the outdoor irrigation analysis includes gardens, not just lawns. Some members of the committee believe that outdoor irrigation is limited and we may not end up with a meaningful number. </w:t>
      </w:r>
      <w:r w:rsidR="00257D44">
        <w:rPr>
          <w:bCs/>
          <w:color w:val="000000" w:themeColor="text1"/>
          <w:sz w:val="20"/>
        </w:rPr>
        <w:t>John O and Joel offered to run the analysis on the same parcels to ensure comparison with the results HDR runs.</w:t>
      </w:r>
    </w:p>
    <w:p w14:paraId="0DCAD7F3" w14:textId="39CB45F1" w:rsidR="00257D44" w:rsidRDefault="00257D44" w:rsidP="004A19FC">
      <w:pPr>
        <w:pStyle w:val="Normal1style"/>
        <w:tabs>
          <w:tab w:val="left" w:pos="6120"/>
        </w:tabs>
        <w:spacing w:before="120"/>
        <w:rPr>
          <w:bCs/>
          <w:color w:val="000000" w:themeColor="text1"/>
          <w:sz w:val="20"/>
        </w:rPr>
      </w:pPr>
    </w:p>
    <w:p w14:paraId="4646FF06" w14:textId="4A3820CC" w:rsidR="00257D44" w:rsidRDefault="00257D44" w:rsidP="004A19FC">
      <w:pPr>
        <w:pStyle w:val="Normal1style"/>
        <w:tabs>
          <w:tab w:val="left" w:pos="6120"/>
        </w:tabs>
        <w:spacing w:before="120"/>
        <w:rPr>
          <w:bCs/>
          <w:color w:val="000000" w:themeColor="text1"/>
          <w:sz w:val="20"/>
        </w:rPr>
      </w:pPr>
      <w:r>
        <w:rPr>
          <w:bCs/>
          <w:color w:val="000000" w:themeColor="text1"/>
          <w:sz w:val="20"/>
        </w:rPr>
        <w:t xml:space="preserve">The workgroup talked through the options (A-D) and it’s likely that we will run all options to seeing the variations and sensitivity. The workgroup will need to further discuss assumptions such as irrigation efficiency and whether there is other local data to inform consumptive use percentages. </w:t>
      </w:r>
      <w:r w:rsidR="00716B3F">
        <w:rPr>
          <w:bCs/>
          <w:color w:val="000000" w:themeColor="text1"/>
          <w:sz w:val="20"/>
        </w:rPr>
        <w:t>Stacy will send out the link to the USGS Groundwater Model (also available on committee webpage). Workgroup members want to ensure our numbers are grounded in real data.</w:t>
      </w:r>
    </w:p>
    <w:p w14:paraId="47E22BB1" w14:textId="6068CA8A" w:rsidR="005B2F47" w:rsidRPr="00C15B46" w:rsidRDefault="005B2F47" w:rsidP="005B2F47">
      <w:pPr>
        <w:pStyle w:val="Heading1"/>
        <w:rPr>
          <w:sz w:val="23"/>
          <w:szCs w:val="23"/>
        </w:rPr>
      </w:pPr>
      <w:r>
        <w:rPr>
          <w:sz w:val="23"/>
          <w:szCs w:val="23"/>
        </w:rPr>
        <w:t>Action Items and Next Steps</w:t>
      </w:r>
    </w:p>
    <w:p w14:paraId="7C37DFB2" w14:textId="5C9587BD" w:rsidR="0083357F" w:rsidRDefault="00257D44" w:rsidP="00257D44">
      <w:pPr>
        <w:pStyle w:val="Normal1style"/>
        <w:spacing w:before="120"/>
        <w:rPr>
          <w:bCs/>
          <w:color w:val="000000" w:themeColor="text1"/>
          <w:sz w:val="20"/>
        </w:rPr>
      </w:pPr>
      <w:r>
        <w:rPr>
          <w:bCs/>
          <w:color w:val="000000" w:themeColor="text1"/>
          <w:sz w:val="20"/>
        </w:rPr>
        <w:t xml:space="preserve">The workgroup will meet again in September once the permit exempt well projections and outdoor </w:t>
      </w:r>
      <w:r w:rsidR="00716B3F">
        <w:rPr>
          <w:bCs/>
          <w:color w:val="000000" w:themeColor="text1"/>
          <w:sz w:val="20"/>
        </w:rPr>
        <w:t>irrigation</w:t>
      </w:r>
      <w:r>
        <w:rPr>
          <w:bCs/>
          <w:color w:val="000000" w:themeColor="text1"/>
          <w:sz w:val="20"/>
        </w:rPr>
        <w:t xml:space="preserve"> analysis methodology are ready for review.</w:t>
      </w:r>
    </w:p>
    <w:p w14:paraId="62B38C74" w14:textId="1D202C23" w:rsidR="00E80EED" w:rsidRDefault="00E80EED" w:rsidP="00E80EED">
      <w:pPr>
        <w:pStyle w:val="Normal1style"/>
        <w:spacing w:before="120"/>
        <w:rPr>
          <w:bCs/>
          <w:color w:val="000000" w:themeColor="text1"/>
          <w:sz w:val="20"/>
        </w:rPr>
      </w:pPr>
    </w:p>
    <w:p w14:paraId="0D73FD0A" w14:textId="77777777" w:rsidR="00E80EED" w:rsidRDefault="00E80EED" w:rsidP="00E80EED">
      <w:pPr>
        <w:pStyle w:val="Normal1style"/>
        <w:spacing w:before="120"/>
        <w:rPr>
          <w:bCs/>
          <w:color w:val="000000" w:themeColor="text1"/>
          <w:sz w:val="20"/>
        </w:rPr>
      </w:pPr>
    </w:p>
    <w:p w14:paraId="302A4D24" w14:textId="61DE19F2" w:rsidR="009D3BA5" w:rsidRDefault="009D3BA5" w:rsidP="000A732B">
      <w:pPr>
        <w:pStyle w:val="Normal1style"/>
        <w:spacing w:before="120"/>
        <w:rPr>
          <w:bCs/>
          <w:color w:val="000000" w:themeColor="text1"/>
          <w:sz w:val="20"/>
        </w:rPr>
      </w:pPr>
    </w:p>
    <w:p w14:paraId="56493D34" w14:textId="3CAAA8B6" w:rsidR="00BA3DFA" w:rsidRDefault="00BA3DFA" w:rsidP="009D3BA5"/>
    <w:p w14:paraId="7A172508" w14:textId="4A433BC8" w:rsidR="00BA3DFA" w:rsidRDefault="00BA3DFA">
      <w:pPr>
        <w:spacing w:after="160" w:line="259" w:lineRule="auto"/>
      </w:pPr>
    </w:p>
    <w:sectPr w:rsidR="00BA3DFA" w:rsidSect="00525266">
      <w:type w:val="continuous"/>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B76B3" w14:textId="77777777" w:rsidR="00923248" w:rsidRDefault="00923248" w:rsidP="00E34A0C">
      <w:r>
        <w:separator/>
      </w:r>
    </w:p>
  </w:endnote>
  <w:endnote w:type="continuationSeparator" w:id="0">
    <w:p w14:paraId="75B0B9ED" w14:textId="77777777" w:rsidR="00923248" w:rsidRDefault="00923248" w:rsidP="00E34A0C">
      <w:r>
        <w:continuationSeparator/>
      </w:r>
    </w:p>
  </w:endnote>
  <w:endnote w:type="continuationNotice" w:id="1">
    <w:p w14:paraId="152E0197" w14:textId="77777777" w:rsidR="00923248" w:rsidRDefault="00923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3859" w14:textId="77777777" w:rsidR="00923248" w:rsidRDefault="00923248" w:rsidP="00E34A0C">
      <w:r>
        <w:separator/>
      </w:r>
    </w:p>
  </w:footnote>
  <w:footnote w:type="continuationSeparator" w:id="0">
    <w:p w14:paraId="36DB609A" w14:textId="77777777" w:rsidR="00923248" w:rsidRDefault="00923248" w:rsidP="00E34A0C">
      <w:r>
        <w:continuationSeparator/>
      </w:r>
    </w:p>
  </w:footnote>
  <w:footnote w:type="continuationNotice" w:id="1">
    <w:p w14:paraId="746A8ADA" w14:textId="77777777" w:rsidR="00923248" w:rsidRDefault="009232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3D9"/>
    <w:multiLevelType w:val="hybridMultilevel"/>
    <w:tmpl w:val="42ECE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3DA4"/>
    <w:multiLevelType w:val="hybridMultilevel"/>
    <w:tmpl w:val="0FA2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57C60"/>
    <w:multiLevelType w:val="hybridMultilevel"/>
    <w:tmpl w:val="A41C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E03A2"/>
    <w:multiLevelType w:val="hybridMultilevel"/>
    <w:tmpl w:val="30CC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659E9"/>
    <w:multiLevelType w:val="hybridMultilevel"/>
    <w:tmpl w:val="F84872A8"/>
    <w:lvl w:ilvl="0" w:tplc="2F483BE4">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606DC"/>
    <w:multiLevelType w:val="hybridMultilevel"/>
    <w:tmpl w:val="DFBC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21"/>
  </w:num>
  <w:num w:numId="4">
    <w:abstractNumId w:val="19"/>
  </w:num>
  <w:num w:numId="5">
    <w:abstractNumId w:val="15"/>
  </w:num>
  <w:num w:numId="6">
    <w:abstractNumId w:val="7"/>
  </w:num>
  <w:num w:numId="7">
    <w:abstractNumId w:val="3"/>
  </w:num>
  <w:num w:numId="8">
    <w:abstractNumId w:val="14"/>
  </w:num>
  <w:num w:numId="9">
    <w:abstractNumId w:val="4"/>
  </w:num>
  <w:num w:numId="10">
    <w:abstractNumId w:val="17"/>
  </w:num>
  <w:num w:numId="11">
    <w:abstractNumId w:val="9"/>
  </w:num>
  <w:num w:numId="12">
    <w:abstractNumId w:val="16"/>
  </w:num>
  <w:num w:numId="13">
    <w:abstractNumId w:val="12"/>
  </w:num>
  <w:num w:numId="14">
    <w:abstractNumId w:val="20"/>
  </w:num>
  <w:num w:numId="15">
    <w:abstractNumId w:val="2"/>
  </w:num>
  <w:num w:numId="16">
    <w:abstractNumId w:val="9"/>
  </w:num>
  <w:num w:numId="17">
    <w:abstractNumId w:val="8"/>
  </w:num>
  <w:num w:numId="18">
    <w:abstractNumId w:val="11"/>
  </w:num>
  <w:num w:numId="19">
    <w:abstractNumId w:val="25"/>
  </w:num>
  <w:num w:numId="20">
    <w:abstractNumId w:val="5"/>
  </w:num>
  <w:num w:numId="21">
    <w:abstractNumId w:val="27"/>
  </w:num>
  <w:num w:numId="22">
    <w:abstractNumId w:val="23"/>
  </w:num>
  <w:num w:numId="23">
    <w:abstractNumId w:val="22"/>
  </w:num>
  <w:num w:numId="24">
    <w:abstractNumId w:val="1"/>
  </w:num>
  <w:num w:numId="25">
    <w:abstractNumId w:val="6"/>
  </w:num>
  <w:num w:numId="26">
    <w:abstractNumId w:val="18"/>
  </w:num>
  <w:num w:numId="27">
    <w:abstractNumId w:val="24"/>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2BE7"/>
    <w:rsid w:val="00042625"/>
    <w:rsid w:val="00053412"/>
    <w:rsid w:val="00060A54"/>
    <w:rsid w:val="000952E5"/>
    <w:rsid w:val="000A39F4"/>
    <w:rsid w:val="000A732B"/>
    <w:rsid w:val="000B45E1"/>
    <w:rsid w:val="000B53FB"/>
    <w:rsid w:val="000B65AA"/>
    <w:rsid w:val="000E6F73"/>
    <w:rsid w:val="000F260A"/>
    <w:rsid w:val="000F3546"/>
    <w:rsid w:val="000F6243"/>
    <w:rsid w:val="001010F9"/>
    <w:rsid w:val="00150AFC"/>
    <w:rsid w:val="00153087"/>
    <w:rsid w:val="001562A8"/>
    <w:rsid w:val="00180809"/>
    <w:rsid w:val="0018778C"/>
    <w:rsid w:val="0019587F"/>
    <w:rsid w:val="001B10D0"/>
    <w:rsid w:val="001D2044"/>
    <w:rsid w:val="001F7A77"/>
    <w:rsid w:val="0020598D"/>
    <w:rsid w:val="00206C04"/>
    <w:rsid w:val="00213817"/>
    <w:rsid w:val="002422A7"/>
    <w:rsid w:val="00243E9D"/>
    <w:rsid w:val="00246EA3"/>
    <w:rsid w:val="00257D44"/>
    <w:rsid w:val="002640CD"/>
    <w:rsid w:val="002861D0"/>
    <w:rsid w:val="002944DD"/>
    <w:rsid w:val="002A7A04"/>
    <w:rsid w:val="002B161B"/>
    <w:rsid w:val="002C6AFE"/>
    <w:rsid w:val="002D0921"/>
    <w:rsid w:val="002D5210"/>
    <w:rsid w:val="002E1A38"/>
    <w:rsid w:val="00300A18"/>
    <w:rsid w:val="00305A68"/>
    <w:rsid w:val="00312A3A"/>
    <w:rsid w:val="00340641"/>
    <w:rsid w:val="00341613"/>
    <w:rsid w:val="003558C4"/>
    <w:rsid w:val="0037551A"/>
    <w:rsid w:val="00375B5A"/>
    <w:rsid w:val="0037784B"/>
    <w:rsid w:val="0039794A"/>
    <w:rsid w:val="003B49C6"/>
    <w:rsid w:val="003D1582"/>
    <w:rsid w:val="003D6845"/>
    <w:rsid w:val="003E6B75"/>
    <w:rsid w:val="003F0D14"/>
    <w:rsid w:val="003F397F"/>
    <w:rsid w:val="00411752"/>
    <w:rsid w:val="00424857"/>
    <w:rsid w:val="00426D7F"/>
    <w:rsid w:val="004315F6"/>
    <w:rsid w:val="00434E40"/>
    <w:rsid w:val="0044453B"/>
    <w:rsid w:val="00455ECE"/>
    <w:rsid w:val="0046467E"/>
    <w:rsid w:val="00467142"/>
    <w:rsid w:val="00484EB7"/>
    <w:rsid w:val="00487D8D"/>
    <w:rsid w:val="004A19FC"/>
    <w:rsid w:val="004A215E"/>
    <w:rsid w:val="004B5763"/>
    <w:rsid w:val="004D0C95"/>
    <w:rsid w:val="004E0684"/>
    <w:rsid w:val="004E1633"/>
    <w:rsid w:val="004E586B"/>
    <w:rsid w:val="004F0620"/>
    <w:rsid w:val="00501ED0"/>
    <w:rsid w:val="0050727E"/>
    <w:rsid w:val="00513B7D"/>
    <w:rsid w:val="00516813"/>
    <w:rsid w:val="00525266"/>
    <w:rsid w:val="00526F3D"/>
    <w:rsid w:val="00555A4A"/>
    <w:rsid w:val="00562836"/>
    <w:rsid w:val="00570AE3"/>
    <w:rsid w:val="00570B92"/>
    <w:rsid w:val="00571892"/>
    <w:rsid w:val="00593226"/>
    <w:rsid w:val="005A5F11"/>
    <w:rsid w:val="005A6B16"/>
    <w:rsid w:val="005B2F47"/>
    <w:rsid w:val="005B5CD4"/>
    <w:rsid w:val="005C2461"/>
    <w:rsid w:val="005D081E"/>
    <w:rsid w:val="005D31CD"/>
    <w:rsid w:val="005D7636"/>
    <w:rsid w:val="005E2D2C"/>
    <w:rsid w:val="0060235B"/>
    <w:rsid w:val="00610A24"/>
    <w:rsid w:val="00614913"/>
    <w:rsid w:val="00621047"/>
    <w:rsid w:val="00625C2C"/>
    <w:rsid w:val="00652801"/>
    <w:rsid w:val="006551C3"/>
    <w:rsid w:val="0065722A"/>
    <w:rsid w:val="006628DD"/>
    <w:rsid w:val="00693725"/>
    <w:rsid w:val="00693E60"/>
    <w:rsid w:val="006B180C"/>
    <w:rsid w:val="006B2C2C"/>
    <w:rsid w:val="006B785A"/>
    <w:rsid w:val="006C0C8D"/>
    <w:rsid w:val="006C1ABA"/>
    <w:rsid w:val="006C7C54"/>
    <w:rsid w:val="006E43C3"/>
    <w:rsid w:val="006E5504"/>
    <w:rsid w:val="006F08A4"/>
    <w:rsid w:val="006F760C"/>
    <w:rsid w:val="00716B3F"/>
    <w:rsid w:val="00720918"/>
    <w:rsid w:val="00724DFD"/>
    <w:rsid w:val="00742EC1"/>
    <w:rsid w:val="00750804"/>
    <w:rsid w:val="00764E63"/>
    <w:rsid w:val="007817D6"/>
    <w:rsid w:val="0078541A"/>
    <w:rsid w:val="00790551"/>
    <w:rsid w:val="00797D47"/>
    <w:rsid w:val="007A36EA"/>
    <w:rsid w:val="007A3C14"/>
    <w:rsid w:val="007B0BF6"/>
    <w:rsid w:val="007C1682"/>
    <w:rsid w:val="007C44D2"/>
    <w:rsid w:val="007C5CDF"/>
    <w:rsid w:val="007F238E"/>
    <w:rsid w:val="007F6DB7"/>
    <w:rsid w:val="007F6F1B"/>
    <w:rsid w:val="00805AD4"/>
    <w:rsid w:val="00807515"/>
    <w:rsid w:val="0081226A"/>
    <w:rsid w:val="00831DB4"/>
    <w:rsid w:val="00832696"/>
    <w:rsid w:val="0083357F"/>
    <w:rsid w:val="008340D8"/>
    <w:rsid w:val="00865A37"/>
    <w:rsid w:val="0086697B"/>
    <w:rsid w:val="00871F5D"/>
    <w:rsid w:val="00873678"/>
    <w:rsid w:val="0087614C"/>
    <w:rsid w:val="008873E7"/>
    <w:rsid w:val="0089148D"/>
    <w:rsid w:val="0089602F"/>
    <w:rsid w:val="008A6CF1"/>
    <w:rsid w:val="008B763B"/>
    <w:rsid w:val="008C3102"/>
    <w:rsid w:val="008E4582"/>
    <w:rsid w:val="008F27D1"/>
    <w:rsid w:val="008F6C88"/>
    <w:rsid w:val="00901727"/>
    <w:rsid w:val="00906567"/>
    <w:rsid w:val="00906C7D"/>
    <w:rsid w:val="00912A9B"/>
    <w:rsid w:val="00917A64"/>
    <w:rsid w:val="00923248"/>
    <w:rsid w:val="00947AEE"/>
    <w:rsid w:val="00960F9A"/>
    <w:rsid w:val="00962250"/>
    <w:rsid w:val="009641A2"/>
    <w:rsid w:val="0097058B"/>
    <w:rsid w:val="00972FDD"/>
    <w:rsid w:val="00973884"/>
    <w:rsid w:val="009B2F79"/>
    <w:rsid w:val="009D1FF3"/>
    <w:rsid w:val="009D26F5"/>
    <w:rsid w:val="009D3BA5"/>
    <w:rsid w:val="009D6E23"/>
    <w:rsid w:val="009E4424"/>
    <w:rsid w:val="009E6FC1"/>
    <w:rsid w:val="009F2A73"/>
    <w:rsid w:val="00A12565"/>
    <w:rsid w:val="00A4747D"/>
    <w:rsid w:val="00A47A67"/>
    <w:rsid w:val="00A565DF"/>
    <w:rsid w:val="00AA432F"/>
    <w:rsid w:val="00AC2167"/>
    <w:rsid w:val="00AC732C"/>
    <w:rsid w:val="00AD1996"/>
    <w:rsid w:val="00AE0CF2"/>
    <w:rsid w:val="00B1512A"/>
    <w:rsid w:val="00B15513"/>
    <w:rsid w:val="00B24C97"/>
    <w:rsid w:val="00B26C38"/>
    <w:rsid w:val="00B40ACF"/>
    <w:rsid w:val="00B57ACF"/>
    <w:rsid w:val="00B87A42"/>
    <w:rsid w:val="00BA3DFA"/>
    <w:rsid w:val="00BA44B5"/>
    <w:rsid w:val="00BA4B4F"/>
    <w:rsid w:val="00BA7E30"/>
    <w:rsid w:val="00BB6B70"/>
    <w:rsid w:val="00BC74A2"/>
    <w:rsid w:val="00BD565D"/>
    <w:rsid w:val="00BD631F"/>
    <w:rsid w:val="00BE2638"/>
    <w:rsid w:val="00BF6D91"/>
    <w:rsid w:val="00C00646"/>
    <w:rsid w:val="00C116A5"/>
    <w:rsid w:val="00C15B46"/>
    <w:rsid w:val="00C216A0"/>
    <w:rsid w:val="00C327D3"/>
    <w:rsid w:val="00C513BF"/>
    <w:rsid w:val="00C515BE"/>
    <w:rsid w:val="00C556F9"/>
    <w:rsid w:val="00CA03E7"/>
    <w:rsid w:val="00CB245E"/>
    <w:rsid w:val="00CB3382"/>
    <w:rsid w:val="00CB4D82"/>
    <w:rsid w:val="00CC2ED1"/>
    <w:rsid w:val="00CC7480"/>
    <w:rsid w:val="00CD2E69"/>
    <w:rsid w:val="00CD4B50"/>
    <w:rsid w:val="00CF3536"/>
    <w:rsid w:val="00D05963"/>
    <w:rsid w:val="00D0681A"/>
    <w:rsid w:val="00D07BE0"/>
    <w:rsid w:val="00D334F9"/>
    <w:rsid w:val="00D376B3"/>
    <w:rsid w:val="00D4168A"/>
    <w:rsid w:val="00D47C6B"/>
    <w:rsid w:val="00D52EBF"/>
    <w:rsid w:val="00D761B7"/>
    <w:rsid w:val="00D94234"/>
    <w:rsid w:val="00DC1F04"/>
    <w:rsid w:val="00DD2E69"/>
    <w:rsid w:val="00DE3FD2"/>
    <w:rsid w:val="00DF5EFF"/>
    <w:rsid w:val="00E11CB6"/>
    <w:rsid w:val="00E34A0C"/>
    <w:rsid w:val="00E72DD3"/>
    <w:rsid w:val="00E76467"/>
    <w:rsid w:val="00E80EED"/>
    <w:rsid w:val="00E868B0"/>
    <w:rsid w:val="00E96901"/>
    <w:rsid w:val="00E97899"/>
    <w:rsid w:val="00EA70BA"/>
    <w:rsid w:val="00EB17FE"/>
    <w:rsid w:val="00EB1CF1"/>
    <w:rsid w:val="00EB75A3"/>
    <w:rsid w:val="00EC12ED"/>
    <w:rsid w:val="00ED5C2A"/>
    <w:rsid w:val="00EF1BEB"/>
    <w:rsid w:val="00EF400A"/>
    <w:rsid w:val="00F03C43"/>
    <w:rsid w:val="00F05745"/>
    <w:rsid w:val="00F52C59"/>
    <w:rsid w:val="00F57AF8"/>
    <w:rsid w:val="00F6234F"/>
    <w:rsid w:val="00F74E2A"/>
    <w:rsid w:val="00F8128A"/>
    <w:rsid w:val="00F91E44"/>
    <w:rsid w:val="00FA3390"/>
    <w:rsid w:val="00FA78D8"/>
    <w:rsid w:val="00FB03D6"/>
    <w:rsid w:val="00FB469F"/>
    <w:rsid w:val="00FB4D56"/>
    <w:rsid w:val="00FD2B19"/>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98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47907087">
      <w:bodyDiv w:val="1"/>
      <w:marLeft w:val="0"/>
      <w:marRight w:val="0"/>
      <w:marTop w:val="0"/>
      <w:marBottom w:val="0"/>
      <w:divBdr>
        <w:top w:val="none" w:sz="0" w:space="0" w:color="auto"/>
        <w:left w:val="none" w:sz="0" w:space="0" w:color="auto"/>
        <w:bottom w:val="none" w:sz="0" w:space="0" w:color="auto"/>
        <w:right w:val="none" w:sz="0" w:space="0" w:color="auto"/>
      </w:divBdr>
    </w:div>
    <w:div w:id="152339639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FF47735-8CBB-4C73-A645-AA3EFD1D3742}"/>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5A1ADE9D-417F-47E8-8F29-6FDA6E9B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Technical Workgroup Notes</dc:title>
  <dc:subject>March agenda</dc:subject>
  <dc:creator>Barb Macgregor</dc:creator>
  <cp:keywords/>
  <dc:description/>
  <cp:lastModifiedBy>Vynne McKinstry, Stacy J. (ECY)</cp:lastModifiedBy>
  <cp:revision>7</cp:revision>
  <cp:lastPrinted>2018-08-22T19:01:00Z</cp:lastPrinted>
  <dcterms:created xsi:type="dcterms:W3CDTF">2019-09-15T23:31:00Z</dcterms:created>
  <dcterms:modified xsi:type="dcterms:W3CDTF">2019-09-16T15:52:00Z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