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20028" w14:textId="0CF2C0CF" w:rsidR="00330F52" w:rsidRDefault="00330F52">
      <w:bookmarkStart w:id="0" w:name="_GoBack"/>
      <w:bookmarkEnd w:id="0"/>
      <w:r>
        <w:t>Revisions to final WRIA 15 draft plan (version 3/1/2021)</w:t>
      </w:r>
    </w:p>
    <w:p w14:paraId="5404EF48" w14:textId="6039A338" w:rsidR="00F80FFA" w:rsidRDefault="00646178">
      <w:r>
        <w:t xml:space="preserve">Last Updated </w:t>
      </w:r>
      <w:r w:rsidR="00330F52">
        <w:t>4.1</w:t>
      </w:r>
      <w:r w:rsidR="00321EAF">
        <w:t>4</w:t>
      </w:r>
      <w:r w:rsidR="00F80FFA">
        <w:t>.2021</w:t>
      </w:r>
    </w:p>
    <w:p w14:paraId="27A696C1" w14:textId="77777777" w:rsidR="00330F52" w:rsidRDefault="00330F52"/>
    <w:p w14:paraId="353138CC" w14:textId="4E785260" w:rsidR="00330F52" w:rsidRDefault="00330F52"/>
    <w:tbl>
      <w:tblPr>
        <w:tblStyle w:val="TableGrid"/>
        <w:tblW w:w="10440" w:type="dxa"/>
        <w:tblInd w:w="-545" w:type="dxa"/>
        <w:tblLook w:val="04A0" w:firstRow="1" w:lastRow="0" w:firstColumn="1" w:lastColumn="0" w:noHBand="0" w:noVBand="1"/>
      </w:tblPr>
      <w:tblGrid>
        <w:gridCol w:w="4590"/>
        <w:gridCol w:w="1710"/>
        <w:gridCol w:w="1260"/>
        <w:gridCol w:w="2880"/>
      </w:tblGrid>
      <w:tr w:rsidR="00330F52" w:rsidRPr="00F23F98" w14:paraId="56BB3F2C" w14:textId="77777777" w:rsidTr="025CC297">
        <w:tc>
          <w:tcPr>
            <w:tcW w:w="4590" w:type="dxa"/>
          </w:tcPr>
          <w:p w14:paraId="4887A6FB" w14:textId="0816FDD7" w:rsidR="00330F52" w:rsidRPr="00F23F98" w:rsidRDefault="00330F52">
            <w:pPr>
              <w:rPr>
                <w:sz w:val="18"/>
              </w:rPr>
            </w:pPr>
            <w:r w:rsidRPr="00F23F98">
              <w:rPr>
                <w:sz w:val="18"/>
              </w:rPr>
              <w:t>Proposed revision</w:t>
            </w:r>
          </w:p>
        </w:tc>
        <w:tc>
          <w:tcPr>
            <w:tcW w:w="1710" w:type="dxa"/>
          </w:tcPr>
          <w:p w14:paraId="171DBD02" w14:textId="3F21330F" w:rsidR="00330F52" w:rsidRPr="00F23F98" w:rsidRDefault="00330F52">
            <w:pPr>
              <w:rPr>
                <w:sz w:val="18"/>
              </w:rPr>
            </w:pPr>
            <w:r w:rsidRPr="00F23F98">
              <w:rPr>
                <w:sz w:val="18"/>
              </w:rPr>
              <w:t>Page number</w:t>
            </w:r>
          </w:p>
        </w:tc>
        <w:tc>
          <w:tcPr>
            <w:tcW w:w="1260" w:type="dxa"/>
          </w:tcPr>
          <w:p w14:paraId="6AE8B6B0" w14:textId="7F2B6DC5" w:rsidR="00330F52" w:rsidRPr="00F23F98" w:rsidRDefault="00330F52">
            <w:pPr>
              <w:rPr>
                <w:sz w:val="18"/>
              </w:rPr>
            </w:pPr>
            <w:r w:rsidRPr="00F23F98">
              <w:rPr>
                <w:sz w:val="18"/>
              </w:rPr>
              <w:t>Requested By</w:t>
            </w:r>
          </w:p>
        </w:tc>
        <w:tc>
          <w:tcPr>
            <w:tcW w:w="2880" w:type="dxa"/>
          </w:tcPr>
          <w:p w14:paraId="7CB56A48" w14:textId="609E1578" w:rsidR="00330F52" w:rsidRPr="00F23F98" w:rsidRDefault="00330F52">
            <w:pPr>
              <w:rPr>
                <w:sz w:val="18"/>
              </w:rPr>
            </w:pPr>
            <w:r w:rsidRPr="00F23F98">
              <w:rPr>
                <w:sz w:val="18"/>
              </w:rPr>
              <w:t>Completed/Action</w:t>
            </w:r>
          </w:p>
        </w:tc>
      </w:tr>
      <w:tr w:rsidR="00330F52" w:rsidRPr="00F23F98" w14:paraId="37B00E03" w14:textId="77777777" w:rsidTr="025CC297">
        <w:tc>
          <w:tcPr>
            <w:tcW w:w="4590" w:type="dxa"/>
          </w:tcPr>
          <w:p w14:paraId="68734DEE" w14:textId="38C7DF88" w:rsidR="00330F52" w:rsidRPr="00F23F98" w:rsidRDefault="00330F52">
            <w:pPr>
              <w:rPr>
                <w:sz w:val="18"/>
              </w:rPr>
            </w:pPr>
            <w:r w:rsidRPr="00F23F98">
              <w:rPr>
                <w:rFonts w:ascii="Calibri" w:eastAsia="Times New Roman" w:hAnsi="Calibri" w:cs="Calibri"/>
                <w:color w:val="000000"/>
                <w:sz w:val="18"/>
              </w:rPr>
              <w:t xml:space="preserve">AFY – shorted ourselves by 10 AFY – Vashon Maury and some rounding errors throughout the </w:t>
            </w:r>
            <w:proofErr w:type="spellStart"/>
            <w:r w:rsidRPr="00F23F98">
              <w:rPr>
                <w:rFonts w:ascii="Calibri" w:eastAsia="Times New Roman" w:hAnsi="Calibri" w:cs="Calibri"/>
                <w:color w:val="000000"/>
                <w:sz w:val="18"/>
              </w:rPr>
              <w:t>subbasin</w:t>
            </w:r>
            <w:proofErr w:type="spellEnd"/>
            <w:r w:rsidRPr="00F23F98">
              <w:rPr>
                <w:rFonts w:ascii="Calibri" w:eastAsia="Times New Roman" w:hAnsi="Calibri" w:cs="Calibri"/>
                <w:color w:val="000000"/>
                <w:sz w:val="18"/>
              </w:rPr>
              <w:t xml:space="preserve"> tables. Add up to 1076.7. </w:t>
            </w:r>
            <w:proofErr w:type="gramStart"/>
            <w:r w:rsidRPr="00F23F98">
              <w:rPr>
                <w:rFonts w:ascii="Calibri" w:eastAsia="Times New Roman" w:hAnsi="Calibri" w:cs="Calibri"/>
                <w:color w:val="000000"/>
                <w:sz w:val="18"/>
              </w:rPr>
              <w:t>need</w:t>
            </w:r>
            <w:proofErr w:type="gramEnd"/>
            <w:r w:rsidRPr="00F23F98">
              <w:rPr>
                <w:rFonts w:ascii="Calibri" w:eastAsia="Times New Roman" w:hAnsi="Calibri" w:cs="Calibri"/>
                <w:color w:val="000000"/>
                <w:sz w:val="18"/>
              </w:rPr>
              <w:t xml:space="preserve"> to fix all numbers in Executive Summary, Chapter 5 and NEB chapter.</w:t>
            </w:r>
          </w:p>
        </w:tc>
        <w:tc>
          <w:tcPr>
            <w:tcW w:w="1710" w:type="dxa"/>
          </w:tcPr>
          <w:p w14:paraId="2A818039" w14:textId="60FD3C14" w:rsidR="00330F52" w:rsidRPr="00F23F98" w:rsidRDefault="00330F52">
            <w:pPr>
              <w:rPr>
                <w:sz w:val="18"/>
              </w:rPr>
            </w:pPr>
            <w:r w:rsidRPr="00F23F98">
              <w:rPr>
                <w:sz w:val="18"/>
              </w:rPr>
              <w:t>Throughout plan</w:t>
            </w:r>
          </w:p>
        </w:tc>
        <w:tc>
          <w:tcPr>
            <w:tcW w:w="1260" w:type="dxa"/>
          </w:tcPr>
          <w:p w14:paraId="4520DF9A" w14:textId="0547B34D" w:rsidR="00330F52" w:rsidRPr="00F23F98" w:rsidRDefault="00330F52">
            <w:pPr>
              <w:rPr>
                <w:sz w:val="18"/>
              </w:rPr>
            </w:pPr>
            <w:r w:rsidRPr="00F23F98">
              <w:rPr>
                <w:sz w:val="18"/>
              </w:rPr>
              <w:t>Ecology</w:t>
            </w:r>
          </w:p>
        </w:tc>
        <w:tc>
          <w:tcPr>
            <w:tcW w:w="2880" w:type="dxa"/>
          </w:tcPr>
          <w:p w14:paraId="192EE912" w14:textId="674FFDC6" w:rsidR="00330F52" w:rsidRPr="00F23F98" w:rsidRDefault="00330F52">
            <w:pPr>
              <w:rPr>
                <w:sz w:val="18"/>
              </w:rPr>
            </w:pPr>
            <w:r w:rsidRPr="00F23F98">
              <w:rPr>
                <w:sz w:val="18"/>
              </w:rPr>
              <w:t>Completed</w:t>
            </w:r>
          </w:p>
        </w:tc>
      </w:tr>
      <w:tr w:rsidR="00330F52" w:rsidRPr="00F23F98" w14:paraId="7265F5DA" w14:textId="77777777" w:rsidTr="025CC297">
        <w:tc>
          <w:tcPr>
            <w:tcW w:w="4590" w:type="dxa"/>
          </w:tcPr>
          <w:p w14:paraId="781664F3" w14:textId="0DBBA812" w:rsidR="00330F52" w:rsidRPr="00F23F98" w:rsidRDefault="00330F52">
            <w:pPr>
              <w:rPr>
                <w:sz w:val="18"/>
              </w:rPr>
            </w:pPr>
            <w:r w:rsidRPr="00F23F98">
              <w:rPr>
                <w:rFonts w:ascii="Calibri" w:eastAsia="Times New Roman" w:hAnsi="Calibri" w:cs="Calibri"/>
                <w:color w:val="000000"/>
                <w:sz w:val="18"/>
              </w:rPr>
              <w:t xml:space="preserve">One minor thing, on page two, could you change the photo credit to "Curley Creek Courtesy of Great Peninsula Conservancy"? Kenna Cox was a GPC employee at the time she took the photo (and I </w:t>
            </w:r>
            <w:proofErr w:type="gramStart"/>
            <w:r w:rsidRPr="00F23F98">
              <w:rPr>
                <w:rFonts w:ascii="Calibri" w:eastAsia="Times New Roman" w:hAnsi="Calibri" w:cs="Calibri"/>
                <w:color w:val="000000"/>
                <w:sz w:val="18"/>
              </w:rPr>
              <w:t>don't</w:t>
            </w:r>
            <w:proofErr w:type="gramEnd"/>
            <w:r w:rsidRPr="00F23F98">
              <w:rPr>
                <w:rFonts w:ascii="Calibri" w:eastAsia="Times New Roman" w:hAnsi="Calibri" w:cs="Calibri"/>
                <w:color w:val="000000"/>
                <w:sz w:val="18"/>
              </w:rPr>
              <w:t xml:space="preserve"> actually think she took that photo). </w:t>
            </w:r>
          </w:p>
        </w:tc>
        <w:tc>
          <w:tcPr>
            <w:tcW w:w="1710" w:type="dxa"/>
          </w:tcPr>
          <w:p w14:paraId="0E2BB2A5" w14:textId="732B8504" w:rsidR="00330F52" w:rsidRPr="00F23F98" w:rsidRDefault="00330F52">
            <w:pPr>
              <w:rPr>
                <w:sz w:val="18"/>
              </w:rPr>
            </w:pPr>
            <w:r w:rsidRPr="00F23F98">
              <w:rPr>
                <w:sz w:val="18"/>
              </w:rPr>
              <w:t>2</w:t>
            </w:r>
          </w:p>
        </w:tc>
        <w:tc>
          <w:tcPr>
            <w:tcW w:w="1260" w:type="dxa"/>
          </w:tcPr>
          <w:p w14:paraId="3D711ADD" w14:textId="55CC8FCC" w:rsidR="00330F52" w:rsidRPr="00F23F98" w:rsidRDefault="00330F52">
            <w:pPr>
              <w:rPr>
                <w:sz w:val="18"/>
              </w:rPr>
            </w:pPr>
            <w:r w:rsidRPr="00F23F98">
              <w:rPr>
                <w:sz w:val="18"/>
              </w:rPr>
              <w:t>GPC</w:t>
            </w:r>
          </w:p>
        </w:tc>
        <w:tc>
          <w:tcPr>
            <w:tcW w:w="2880" w:type="dxa"/>
          </w:tcPr>
          <w:p w14:paraId="37206F98" w14:textId="7BBA2FD6" w:rsidR="00330F52" w:rsidRPr="00F23F98" w:rsidRDefault="00330F52">
            <w:pPr>
              <w:rPr>
                <w:sz w:val="18"/>
              </w:rPr>
            </w:pPr>
            <w:r w:rsidRPr="00F23F98">
              <w:rPr>
                <w:sz w:val="18"/>
              </w:rPr>
              <w:t>Completed</w:t>
            </w:r>
          </w:p>
        </w:tc>
      </w:tr>
      <w:tr w:rsidR="00330F52" w:rsidRPr="00F23F98" w14:paraId="265AD10E" w14:textId="77777777" w:rsidTr="025CC297">
        <w:tc>
          <w:tcPr>
            <w:tcW w:w="4590" w:type="dxa"/>
          </w:tcPr>
          <w:p w14:paraId="4C95B204" w14:textId="63F09E28" w:rsidR="00330F52" w:rsidRPr="00F23F98" w:rsidRDefault="0023578E">
            <w:pPr>
              <w:rPr>
                <w:sz w:val="18"/>
              </w:rPr>
            </w:pPr>
            <w:r w:rsidRPr="00F23F98">
              <w:rPr>
                <w:color w:val="1F497D"/>
                <w:sz w:val="18"/>
              </w:rPr>
              <w:t>Why does Figure 13 have “Minter Creek MAR” while Figure 21 does not?</w:t>
            </w:r>
          </w:p>
        </w:tc>
        <w:tc>
          <w:tcPr>
            <w:tcW w:w="1710" w:type="dxa"/>
          </w:tcPr>
          <w:p w14:paraId="25DB2D2E" w14:textId="61C9C7A2" w:rsidR="00330F52" w:rsidRPr="00F23F98" w:rsidRDefault="0023578E">
            <w:pPr>
              <w:rPr>
                <w:sz w:val="18"/>
              </w:rPr>
            </w:pPr>
            <w:r w:rsidRPr="00F23F98">
              <w:rPr>
                <w:sz w:val="18"/>
              </w:rPr>
              <w:t>Fig 13</w:t>
            </w:r>
          </w:p>
        </w:tc>
        <w:tc>
          <w:tcPr>
            <w:tcW w:w="1260" w:type="dxa"/>
          </w:tcPr>
          <w:p w14:paraId="6460FC80" w14:textId="7742DF4E" w:rsidR="00330F52" w:rsidRPr="00F23F98" w:rsidRDefault="0023578E">
            <w:pPr>
              <w:rPr>
                <w:sz w:val="18"/>
              </w:rPr>
            </w:pPr>
            <w:r w:rsidRPr="00F23F98">
              <w:rPr>
                <w:sz w:val="18"/>
              </w:rPr>
              <w:t>Squaxin</w:t>
            </w:r>
          </w:p>
        </w:tc>
        <w:tc>
          <w:tcPr>
            <w:tcW w:w="2880" w:type="dxa"/>
          </w:tcPr>
          <w:p w14:paraId="77C39C94" w14:textId="5687F0A4" w:rsidR="00330F52" w:rsidRPr="00F23F98" w:rsidRDefault="0023578E">
            <w:pPr>
              <w:rPr>
                <w:sz w:val="18"/>
              </w:rPr>
            </w:pPr>
            <w:r w:rsidRPr="00F23F98">
              <w:rPr>
                <w:color w:val="1F497D"/>
                <w:sz w:val="18"/>
              </w:rPr>
              <w:t>tables, just not a space to space out minter, change made</w:t>
            </w:r>
          </w:p>
        </w:tc>
      </w:tr>
      <w:tr w:rsidR="00330F52" w:rsidRPr="00F23F98" w14:paraId="0E90C5BC" w14:textId="77777777" w:rsidTr="025CC297">
        <w:tc>
          <w:tcPr>
            <w:tcW w:w="4590" w:type="dxa"/>
          </w:tcPr>
          <w:p w14:paraId="0512C029" w14:textId="43C99F32" w:rsidR="00330F52" w:rsidRPr="00F23F98" w:rsidRDefault="0023578E" w:rsidP="0023578E">
            <w:pPr>
              <w:rPr>
                <w:sz w:val="18"/>
              </w:rPr>
            </w:pPr>
            <w:r w:rsidRPr="00F23F98">
              <w:rPr>
                <w:color w:val="1F497D"/>
                <w:sz w:val="18"/>
              </w:rPr>
              <w:t xml:space="preserve"> “</w:t>
            </w:r>
            <w:r w:rsidRPr="00F23F98">
              <w:rPr>
                <w:rFonts w:ascii="Calibri-Bold" w:hAnsi="Calibri-Bold"/>
                <w:b/>
                <w:bCs/>
                <w:sz w:val="18"/>
              </w:rPr>
              <w:t>Error! Reference source not found.</w:t>
            </w:r>
            <w:r w:rsidRPr="00F23F98">
              <w:rPr>
                <w:color w:val="1F497D"/>
                <w:sz w:val="18"/>
              </w:rPr>
              <w:t xml:space="preserve">” </w:t>
            </w:r>
          </w:p>
        </w:tc>
        <w:tc>
          <w:tcPr>
            <w:tcW w:w="1710" w:type="dxa"/>
          </w:tcPr>
          <w:p w14:paraId="3B628F9B" w14:textId="74EACBD1" w:rsidR="00330F52" w:rsidRPr="00F23F98" w:rsidRDefault="0023578E">
            <w:pPr>
              <w:rPr>
                <w:sz w:val="18"/>
              </w:rPr>
            </w:pPr>
            <w:r w:rsidRPr="00F23F98">
              <w:rPr>
                <w:color w:val="1F497D"/>
                <w:sz w:val="18"/>
              </w:rPr>
              <w:t>60, 62, 93, 96, 97,</w:t>
            </w:r>
          </w:p>
        </w:tc>
        <w:tc>
          <w:tcPr>
            <w:tcW w:w="1260" w:type="dxa"/>
          </w:tcPr>
          <w:p w14:paraId="4F2BF550" w14:textId="18DDD7FC" w:rsidR="00330F52" w:rsidRPr="00F23F98" w:rsidRDefault="0023578E">
            <w:pPr>
              <w:rPr>
                <w:sz w:val="18"/>
              </w:rPr>
            </w:pPr>
            <w:r w:rsidRPr="00F23F98">
              <w:rPr>
                <w:sz w:val="18"/>
              </w:rPr>
              <w:t>multiple</w:t>
            </w:r>
          </w:p>
        </w:tc>
        <w:tc>
          <w:tcPr>
            <w:tcW w:w="2880" w:type="dxa"/>
          </w:tcPr>
          <w:p w14:paraId="646EED41" w14:textId="69A8F3AF" w:rsidR="00330F52" w:rsidRPr="00F23F98" w:rsidRDefault="0023578E">
            <w:pPr>
              <w:rPr>
                <w:sz w:val="18"/>
              </w:rPr>
            </w:pPr>
            <w:r w:rsidRPr="00F23F98">
              <w:rPr>
                <w:color w:val="1F497D"/>
                <w:sz w:val="18"/>
              </w:rPr>
              <w:t>generated by PDF and removed link</w:t>
            </w:r>
          </w:p>
        </w:tc>
      </w:tr>
      <w:tr w:rsidR="00330F52" w:rsidRPr="00F23F98" w14:paraId="69118620" w14:textId="77777777" w:rsidTr="025CC297">
        <w:tc>
          <w:tcPr>
            <w:tcW w:w="4590" w:type="dxa"/>
          </w:tcPr>
          <w:p w14:paraId="4237CABB" w14:textId="40FD287C" w:rsidR="00330F52" w:rsidRPr="00F23F98" w:rsidRDefault="0023578E">
            <w:pPr>
              <w:rPr>
                <w:sz w:val="18"/>
              </w:rPr>
            </w:pPr>
            <w:proofErr w:type="gramStart"/>
            <w:r w:rsidRPr="00F23F98">
              <w:rPr>
                <w:color w:val="1F497D"/>
                <w:sz w:val="18"/>
              </w:rPr>
              <w:t>is</w:t>
            </w:r>
            <w:proofErr w:type="gramEnd"/>
            <w:r w:rsidRPr="00F23F98">
              <w:rPr>
                <w:color w:val="1F497D"/>
                <w:sz w:val="18"/>
              </w:rPr>
              <w:t xml:space="preserve"> it 177 </w:t>
            </w:r>
            <w:proofErr w:type="spellStart"/>
            <w:r w:rsidRPr="00F23F98">
              <w:rPr>
                <w:color w:val="1F497D"/>
                <w:sz w:val="18"/>
              </w:rPr>
              <w:t>gpd</w:t>
            </w:r>
            <w:proofErr w:type="spellEnd"/>
            <w:r w:rsidRPr="00F23F98">
              <w:rPr>
                <w:color w:val="1F497D"/>
                <w:sz w:val="18"/>
              </w:rPr>
              <w:t xml:space="preserve"> or 195 </w:t>
            </w:r>
            <w:proofErr w:type="spellStart"/>
            <w:r w:rsidRPr="00F23F98">
              <w:rPr>
                <w:color w:val="1F497D"/>
                <w:sz w:val="18"/>
              </w:rPr>
              <w:t>gpd</w:t>
            </w:r>
            <w:proofErr w:type="spellEnd"/>
            <w:r w:rsidRPr="00F23F98">
              <w:rPr>
                <w:color w:val="1F497D"/>
                <w:sz w:val="18"/>
              </w:rPr>
              <w:t xml:space="preserve">?”  </w:t>
            </w:r>
          </w:p>
        </w:tc>
        <w:tc>
          <w:tcPr>
            <w:tcW w:w="1710" w:type="dxa"/>
          </w:tcPr>
          <w:p w14:paraId="7169485D" w14:textId="4C253A32" w:rsidR="00330F52" w:rsidRPr="00F23F98" w:rsidRDefault="0023578E">
            <w:pPr>
              <w:rPr>
                <w:sz w:val="18"/>
              </w:rPr>
            </w:pPr>
            <w:r w:rsidRPr="00F23F98">
              <w:rPr>
                <w:color w:val="1F497D"/>
                <w:sz w:val="18"/>
              </w:rPr>
              <w:t>Page xi (end of 4</w:t>
            </w:r>
            <w:r w:rsidRPr="00F23F98">
              <w:rPr>
                <w:color w:val="1F497D"/>
                <w:sz w:val="18"/>
                <w:vertAlign w:val="superscript"/>
              </w:rPr>
              <w:t>th</w:t>
            </w:r>
            <w:r w:rsidRPr="00F23F98">
              <w:rPr>
                <w:color w:val="1F497D"/>
                <w:sz w:val="18"/>
              </w:rPr>
              <w:t xml:space="preserve"> paragraph):</w:t>
            </w:r>
          </w:p>
        </w:tc>
        <w:tc>
          <w:tcPr>
            <w:tcW w:w="1260" w:type="dxa"/>
          </w:tcPr>
          <w:p w14:paraId="6F0A0F38" w14:textId="072E275F" w:rsidR="00330F52" w:rsidRPr="00F23F98" w:rsidRDefault="0023578E" w:rsidP="0023578E">
            <w:pPr>
              <w:rPr>
                <w:sz w:val="18"/>
              </w:rPr>
            </w:pPr>
            <w:r w:rsidRPr="00F23F98">
              <w:rPr>
                <w:sz w:val="18"/>
              </w:rPr>
              <w:t>COBI</w:t>
            </w:r>
          </w:p>
        </w:tc>
        <w:tc>
          <w:tcPr>
            <w:tcW w:w="2880" w:type="dxa"/>
          </w:tcPr>
          <w:p w14:paraId="6FF6C5DC" w14:textId="25E018E3" w:rsidR="00330F52" w:rsidRPr="00F23F98" w:rsidRDefault="0023578E">
            <w:pPr>
              <w:rPr>
                <w:sz w:val="18"/>
              </w:rPr>
            </w:pPr>
            <w:r w:rsidRPr="00F23F98">
              <w:rPr>
                <w:sz w:val="18"/>
              </w:rPr>
              <w:t>Confirmed with Bob, comment added</w:t>
            </w:r>
          </w:p>
        </w:tc>
      </w:tr>
      <w:tr w:rsidR="00330F52" w:rsidRPr="00F23F98" w14:paraId="4F2EB9D3" w14:textId="77777777" w:rsidTr="025CC297">
        <w:tc>
          <w:tcPr>
            <w:tcW w:w="4590" w:type="dxa"/>
          </w:tcPr>
          <w:p w14:paraId="62FE7F15" w14:textId="3899B16C" w:rsidR="00330F52" w:rsidRPr="00F23F98" w:rsidRDefault="0023578E">
            <w:pPr>
              <w:rPr>
                <w:sz w:val="18"/>
              </w:rPr>
            </w:pPr>
            <w:proofErr w:type="gramStart"/>
            <w:r w:rsidRPr="00F23F98">
              <w:rPr>
                <w:color w:val="1F497D"/>
                <w:sz w:val="18"/>
              </w:rPr>
              <w:t>typo</w:t>
            </w:r>
            <w:proofErr w:type="gramEnd"/>
            <w:r w:rsidRPr="00F23F98">
              <w:rPr>
                <w:color w:val="1F497D"/>
                <w:sz w:val="18"/>
              </w:rPr>
              <w:t xml:space="preserve"> - “the highest priority projects are those </w:t>
            </w:r>
            <w:r w:rsidRPr="00F23F98">
              <w:rPr>
                <w:strike/>
                <w:color w:val="1F497D"/>
                <w:sz w:val="18"/>
                <w:highlight w:val="yellow"/>
              </w:rPr>
              <w:t>in</w:t>
            </w:r>
            <w:r w:rsidRPr="00F23F98">
              <w:rPr>
                <w:color w:val="1F497D"/>
                <w:sz w:val="18"/>
              </w:rPr>
              <w:t xml:space="preserve"> that provide...”  </w:t>
            </w:r>
          </w:p>
        </w:tc>
        <w:tc>
          <w:tcPr>
            <w:tcW w:w="1710" w:type="dxa"/>
          </w:tcPr>
          <w:p w14:paraId="0A90B04E" w14:textId="77777777" w:rsidR="0023578E" w:rsidRPr="00F23F98" w:rsidRDefault="0023578E" w:rsidP="0023578E">
            <w:pPr>
              <w:rPr>
                <w:color w:val="1F497D"/>
                <w:sz w:val="18"/>
              </w:rPr>
            </w:pPr>
            <w:r w:rsidRPr="00F23F98">
              <w:rPr>
                <w:color w:val="1F497D"/>
                <w:sz w:val="18"/>
              </w:rPr>
              <w:t>Page 4 (end of 1</w:t>
            </w:r>
            <w:r w:rsidRPr="00F23F98">
              <w:rPr>
                <w:color w:val="1F497D"/>
                <w:sz w:val="18"/>
                <w:vertAlign w:val="superscript"/>
              </w:rPr>
              <w:t>st</w:t>
            </w:r>
            <w:r w:rsidRPr="00F23F98">
              <w:rPr>
                <w:color w:val="1F497D"/>
                <w:sz w:val="18"/>
              </w:rPr>
              <w:t xml:space="preserve"> paragraph): </w:t>
            </w:r>
          </w:p>
          <w:p w14:paraId="585E34E6" w14:textId="77777777" w:rsidR="00330F52" w:rsidRPr="00F23F98" w:rsidRDefault="00330F52">
            <w:pPr>
              <w:rPr>
                <w:sz w:val="18"/>
              </w:rPr>
            </w:pPr>
          </w:p>
        </w:tc>
        <w:tc>
          <w:tcPr>
            <w:tcW w:w="1260" w:type="dxa"/>
          </w:tcPr>
          <w:p w14:paraId="31204774" w14:textId="747A2EA8" w:rsidR="00330F52" w:rsidRPr="00F23F98" w:rsidRDefault="0023578E">
            <w:pPr>
              <w:rPr>
                <w:sz w:val="18"/>
              </w:rPr>
            </w:pPr>
            <w:r w:rsidRPr="00F23F98">
              <w:rPr>
                <w:sz w:val="18"/>
              </w:rPr>
              <w:t>COBI</w:t>
            </w:r>
          </w:p>
        </w:tc>
        <w:tc>
          <w:tcPr>
            <w:tcW w:w="2880" w:type="dxa"/>
          </w:tcPr>
          <w:p w14:paraId="3E61F632" w14:textId="2B34552A" w:rsidR="00330F52" w:rsidRPr="00F23F98" w:rsidRDefault="0023578E">
            <w:pPr>
              <w:rPr>
                <w:sz w:val="18"/>
              </w:rPr>
            </w:pPr>
            <w:r w:rsidRPr="00F23F98">
              <w:rPr>
                <w:sz w:val="18"/>
              </w:rPr>
              <w:t>completed</w:t>
            </w:r>
          </w:p>
        </w:tc>
      </w:tr>
      <w:tr w:rsidR="00330F52" w:rsidRPr="00F23F98" w14:paraId="5B508428" w14:textId="77777777" w:rsidTr="025CC297">
        <w:tc>
          <w:tcPr>
            <w:tcW w:w="4590" w:type="dxa"/>
          </w:tcPr>
          <w:p w14:paraId="4E9BAF70" w14:textId="7BD77B79" w:rsidR="00330F52" w:rsidRPr="00F23F98" w:rsidRDefault="0023578E">
            <w:pPr>
              <w:rPr>
                <w:sz w:val="18"/>
              </w:rPr>
            </w:pPr>
            <w:r w:rsidRPr="00F23F98">
              <w:rPr>
                <w:color w:val="1F497D"/>
                <w:sz w:val="18"/>
              </w:rPr>
              <w:t>“</w:t>
            </w:r>
            <w:proofErr w:type="gramStart"/>
            <w:r w:rsidRPr="00F23F98">
              <w:rPr>
                <w:color w:val="1F497D"/>
                <w:sz w:val="18"/>
              </w:rPr>
              <w:t>conversion</w:t>
            </w:r>
            <w:proofErr w:type="gramEnd"/>
            <w:r w:rsidRPr="00F23F98">
              <w:rPr>
                <w:color w:val="1F497D"/>
                <w:sz w:val="18"/>
              </w:rPr>
              <w:t xml:space="preserve"> between units is a bit confusing as written. Last sentence could clarify this a bit by adding the word “annual” between “outdoor” and “consumption”.”</w:t>
            </w:r>
          </w:p>
        </w:tc>
        <w:tc>
          <w:tcPr>
            <w:tcW w:w="1710" w:type="dxa"/>
          </w:tcPr>
          <w:p w14:paraId="45A64915" w14:textId="49772EDF" w:rsidR="00330F52" w:rsidRPr="00F23F98" w:rsidRDefault="0023578E">
            <w:pPr>
              <w:rPr>
                <w:sz w:val="18"/>
              </w:rPr>
            </w:pPr>
            <w:r w:rsidRPr="00F23F98">
              <w:rPr>
                <w:color w:val="1F497D"/>
                <w:sz w:val="18"/>
              </w:rPr>
              <w:t>Page 39 (end of last paragraph); Page 40</w:t>
            </w:r>
          </w:p>
        </w:tc>
        <w:tc>
          <w:tcPr>
            <w:tcW w:w="1260" w:type="dxa"/>
          </w:tcPr>
          <w:p w14:paraId="174E8BF7" w14:textId="0EB3E916" w:rsidR="00330F52" w:rsidRPr="00F23F98" w:rsidRDefault="0023578E">
            <w:pPr>
              <w:rPr>
                <w:sz w:val="18"/>
              </w:rPr>
            </w:pPr>
            <w:r w:rsidRPr="00F23F98">
              <w:rPr>
                <w:sz w:val="18"/>
              </w:rPr>
              <w:t>COBI</w:t>
            </w:r>
          </w:p>
        </w:tc>
        <w:tc>
          <w:tcPr>
            <w:tcW w:w="2880" w:type="dxa"/>
          </w:tcPr>
          <w:p w14:paraId="3B5C3455" w14:textId="3D6A66FD" w:rsidR="00330F52" w:rsidRPr="00F23F98" w:rsidRDefault="0023578E">
            <w:pPr>
              <w:rPr>
                <w:sz w:val="18"/>
              </w:rPr>
            </w:pPr>
            <w:r w:rsidRPr="00F23F98">
              <w:rPr>
                <w:color w:val="1F497D"/>
                <w:sz w:val="18"/>
              </w:rPr>
              <w:t>Bob provided revision to clarify</w:t>
            </w:r>
          </w:p>
        </w:tc>
      </w:tr>
      <w:tr w:rsidR="0023578E" w:rsidRPr="00F23F98" w14:paraId="29A7F2C6" w14:textId="77777777" w:rsidTr="025CC297">
        <w:tc>
          <w:tcPr>
            <w:tcW w:w="4590" w:type="dxa"/>
          </w:tcPr>
          <w:p w14:paraId="303E60F9" w14:textId="281DFFEC" w:rsidR="0023578E" w:rsidRPr="00F23F98" w:rsidRDefault="0023578E">
            <w:pPr>
              <w:rPr>
                <w:sz w:val="18"/>
              </w:rPr>
            </w:pPr>
            <w:r w:rsidRPr="00F23F98">
              <w:rPr>
                <w:color w:val="1F497D"/>
                <w:sz w:val="18"/>
              </w:rPr>
              <w:t>yet again a different “units” in the discussion</w:t>
            </w:r>
          </w:p>
        </w:tc>
        <w:tc>
          <w:tcPr>
            <w:tcW w:w="1710" w:type="dxa"/>
          </w:tcPr>
          <w:p w14:paraId="641AFFCE" w14:textId="2A016657" w:rsidR="0023578E" w:rsidRPr="00F23F98" w:rsidRDefault="0023578E">
            <w:pPr>
              <w:rPr>
                <w:sz w:val="18"/>
              </w:rPr>
            </w:pPr>
            <w:r w:rsidRPr="00F23F98">
              <w:rPr>
                <w:color w:val="1F497D"/>
                <w:sz w:val="18"/>
              </w:rPr>
              <w:t>Page 42 (last sentence above section 4.3.2)</w:t>
            </w:r>
          </w:p>
        </w:tc>
        <w:tc>
          <w:tcPr>
            <w:tcW w:w="1260" w:type="dxa"/>
          </w:tcPr>
          <w:p w14:paraId="7AD46962" w14:textId="1446E3C1" w:rsidR="0023578E" w:rsidRPr="00F23F98" w:rsidRDefault="0023578E">
            <w:pPr>
              <w:rPr>
                <w:sz w:val="18"/>
              </w:rPr>
            </w:pPr>
            <w:r w:rsidRPr="00F23F98">
              <w:rPr>
                <w:sz w:val="18"/>
              </w:rPr>
              <w:t>COBI</w:t>
            </w:r>
          </w:p>
        </w:tc>
        <w:tc>
          <w:tcPr>
            <w:tcW w:w="2880" w:type="dxa"/>
          </w:tcPr>
          <w:p w14:paraId="41DBD5DA" w14:textId="7FEDB7EF" w:rsidR="0023578E" w:rsidRPr="00F23F98" w:rsidRDefault="0023578E">
            <w:pPr>
              <w:rPr>
                <w:sz w:val="18"/>
              </w:rPr>
            </w:pPr>
            <w:r w:rsidRPr="00F23F98">
              <w:rPr>
                <w:sz w:val="18"/>
              </w:rPr>
              <w:t>Bob provided revision</w:t>
            </w:r>
          </w:p>
        </w:tc>
      </w:tr>
      <w:tr w:rsidR="0023578E" w:rsidRPr="00F23F98" w14:paraId="6A8D0F46" w14:textId="77777777" w:rsidTr="025CC297">
        <w:tc>
          <w:tcPr>
            <w:tcW w:w="4590" w:type="dxa"/>
          </w:tcPr>
          <w:p w14:paraId="20F7D94B" w14:textId="48F32508" w:rsidR="0023578E" w:rsidRPr="00F23F98" w:rsidRDefault="0023578E">
            <w:pPr>
              <w:rPr>
                <w:sz w:val="18"/>
              </w:rPr>
            </w:pPr>
            <w:r w:rsidRPr="00F23F98">
              <w:rPr>
                <w:color w:val="1F497D"/>
                <w:sz w:val="18"/>
              </w:rPr>
              <w:t>this footnote seems like it would be better as a final paragraph in section 4.3.1</w:t>
            </w:r>
          </w:p>
        </w:tc>
        <w:tc>
          <w:tcPr>
            <w:tcW w:w="1710" w:type="dxa"/>
          </w:tcPr>
          <w:p w14:paraId="5F57DD06" w14:textId="10BDF7C4" w:rsidR="0023578E" w:rsidRPr="00F23F98" w:rsidRDefault="0023578E">
            <w:pPr>
              <w:rPr>
                <w:sz w:val="18"/>
              </w:rPr>
            </w:pPr>
            <w:r w:rsidRPr="00F23F98">
              <w:rPr>
                <w:color w:val="1F497D"/>
                <w:sz w:val="18"/>
              </w:rPr>
              <w:t>Page 42 (footnote</w:t>
            </w:r>
          </w:p>
        </w:tc>
        <w:tc>
          <w:tcPr>
            <w:tcW w:w="1260" w:type="dxa"/>
          </w:tcPr>
          <w:p w14:paraId="48C713A9" w14:textId="7C811572" w:rsidR="0023578E" w:rsidRPr="00F23F98" w:rsidRDefault="0023578E">
            <w:pPr>
              <w:rPr>
                <w:sz w:val="18"/>
              </w:rPr>
            </w:pPr>
            <w:r w:rsidRPr="00F23F98">
              <w:rPr>
                <w:sz w:val="18"/>
              </w:rPr>
              <w:t>COBI</w:t>
            </w:r>
          </w:p>
        </w:tc>
        <w:tc>
          <w:tcPr>
            <w:tcW w:w="2880" w:type="dxa"/>
          </w:tcPr>
          <w:p w14:paraId="184A0420" w14:textId="1F65AED1" w:rsidR="0023578E" w:rsidRPr="00F23F98" w:rsidRDefault="025CC297" w:rsidP="025CC297">
            <w:pPr>
              <w:rPr>
                <w:sz w:val="18"/>
                <w:szCs w:val="18"/>
                <w:highlight w:val="cyan"/>
              </w:rPr>
            </w:pPr>
            <w:r w:rsidRPr="00DD4D49">
              <w:rPr>
                <w:color w:val="1F497D"/>
                <w:sz w:val="18"/>
                <w:szCs w:val="18"/>
              </w:rPr>
              <w:t>Angela flagged in plan but did not make change</w:t>
            </w:r>
          </w:p>
        </w:tc>
      </w:tr>
      <w:tr w:rsidR="0023578E" w:rsidRPr="00F23F98" w14:paraId="47CE3C2E" w14:textId="77777777" w:rsidTr="025CC297">
        <w:tc>
          <w:tcPr>
            <w:tcW w:w="4590" w:type="dxa"/>
          </w:tcPr>
          <w:p w14:paraId="66A08DB1" w14:textId="78165A5D" w:rsidR="0023578E" w:rsidRPr="00F23F98" w:rsidRDefault="0023578E">
            <w:pPr>
              <w:rPr>
                <w:sz w:val="18"/>
              </w:rPr>
            </w:pPr>
            <w:r w:rsidRPr="00F23F98">
              <w:rPr>
                <w:color w:val="1F497D"/>
                <w:sz w:val="18"/>
              </w:rPr>
              <w:t>“</w:t>
            </w:r>
            <w:proofErr w:type="gramStart"/>
            <w:r w:rsidRPr="00F23F98">
              <w:rPr>
                <w:color w:val="1F497D"/>
                <w:sz w:val="18"/>
              </w:rPr>
              <w:t>this</w:t>
            </w:r>
            <w:proofErr w:type="gramEnd"/>
            <w:r w:rsidRPr="00F23F98">
              <w:rPr>
                <w:color w:val="1F497D"/>
                <w:sz w:val="18"/>
              </w:rPr>
              <w:t xml:space="preserve"> watershed plan uses a consumptive use estimate of 766.4 </w:t>
            </w:r>
            <w:proofErr w:type="spellStart"/>
            <w:r w:rsidRPr="00F23F98">
              <w:rPr>
                <w:color w:val="1F497D"/>
                <w:sz w:val="18"/>
              </w:rPr>
              <w:t>af</w:t>
            </w:r>
            <w:proofErr w:type="spellEnd"/>
            <w:r w:rsidRPr="00F23F98">
              <w:rPr>
                <w:color w:val="1F497D"/>
                <w:sz w:val="18"/>
              </w:rPr>
              <w:t>/</w:t>
            </w:r>
            <w:proofErr w:type="spellStart"/>
            <w:r w:rsidRPr="00F23F98">
              <w:rPr>
                <w:color w:val="1F497D"/>
                <w:sz w:val="18"/>
              </w:rPr>
              <w:t>yr</w:t>
            </w:r>
            <w:proofErr w:type="spellEnd"/>
            <w:r w:rsidRPr="00F23F98">
              <w:rPr>
                <w:color w:val="1F497D"/>
                <w:sz w:val="18"/>
              </w:rPr>
              <w:t xml:space="preserve">, based on the moderate </w:t>
            </w:r>
            <w:r w:rsidRPr="00F23F98">
              <w:rPr>
                <w:strike/>
                <w:color w:val="1F497D"/>
                <w:sz w:val="18"/>
                <w:highlight w:val="yellow"/>
              </w:rPr>
              <w:t>for</w:t>
            </w:r>
            <w:r w:rsidRPr="00F23F98">
              <w:rPr>
                <w:color w:val="1F497D"/>
                <w:sz w:val="18"/>
              </w:rPr>
              <w:t xml:space="preserve"> growth projection...”</w:t>
            </w:r>
          </w:p>
        </w:tc>
        <w:tc>
          <w:tcPr>
            <w:tcW w:w="1710" w:type="dxa"/>
          </w:tcPr>
          <w:p w14:paraId="3868A607" w14:textId="0E02B30F" w:rsidR="0023578E" w:rsidRPr="00F23F98" w:rsidRDefault="0023578E">
            <w:pPr>
              <w:rPr>
                <w:sz w:val="18"/>
              </w:rPr>
            </w:pPr>
            <w:r w:rsidRPr="00F23F98">
              <w:rPr>
                <w:color w:val="1F497D"/>
                <w:sz w:val="18"/>
              </w:rPr>
              <w:t>Page 51 (first sentence</w:t>
            </w:r>
          </w:p>
        </w:tc>
        <w:tc>
          <w:tcPr>
            <w:tcW w:w="1260" w:type="dxa"/>
          </w:tcPr>
          <w:p w14:paraId="21B63582" w14:textId="04DB012D" w:rsidR="0023578E" w:rsidRPr="00F23F98" w:rsidRDefault="0023578E">
            <w:pPr>
              <w:rPr>
                <w:sz w:val="18"/>
              </w:rPr>
            </w:pPr>
            <w:r w:rsidRPr="00F23F98">
              <w:rPr>
                <w:sz w:val="18"/>
              </w:rPr>
              <w:t>COBI</w:t>
            </w:r>
          </w:p>
        </w:tc>
        <w:tc>
          <w:tcPr>
            <w:tcW w:w="2880" w:type="dxa"/>
          </w:tcPr>
          <w:p w14:paraId="662F8355" w14:textId="064C2E7A" w:rsidR="0023578E" w:rsidRPr="00F23F98" w:rsidRDefault="0023578E">
            <w:pPr>
              <w:rPr>
                <w:sz w:val="18"/>
              </w:rPr>
            </w:pPr>
            <w:r w:rsidRPr="00F23F98">
              <w:rPr>
                <w:sz w:val="18"/>
              </w:rPr>
              <w:t>completed</w:t>
            </w:r>
          </w:p>
        </w:tc>
      </w:tr>
      <w:tr w:rsidR="0023578E" w:rsidRPr="00F23F98" w14:paraId="7091A6B4" w14:textId="77777777" w:rsidTr="025CC297">
        <w:tc>
          <w:tcPr>
            <w:tcW w:w="4590" w:type="dxa"/>
          </w:tcPr>
          <w:p w14:paraId="42B0BCBA" w14:textId="197E6E56" w:rsidR="0023578E" w:rsidRPr="00F23F98" w:rsidRDefault="0023578E">
            <w:pPr>
              <w:rPr>
                <w:sz w:val="18"/>
              </w:rPr>
            </w:pPr>
            <w:r w:rsidRPr="00F23F98">
              <w:rPr>
                <w:color w:val="1F497D"/>
                <w:sz w:val="18"/>
              </w:rPr>
              <w:t>Bainbridge Island is circled – comment = “high growth # presented here, not moderate”</w:t>
            </w:r>
          </w:p>
        </w:tc>
        <w:tc>
          <w:tcPr>
            <w:tcW w:w="1710" w:type="dxa"/>
          </w:tcPr>
          <w:p w14:paraId="1144F6A7" w14:textId="2EA22FF7" w:rsidR="0023578E" w:rsidRPr="00F23F98" w:rsidRDefault="0023578E">
            <w:pPr>
              <w:rPr>
                <w:sz w:val="18"/>
              </w:rPr>
            </w:pPr>
            <w:r w:rsidRPr="00F23F98">
              <w:rPr>
                <w:sz w:val="18"/>
              </w:rPr>
              <w:t>53</w:t>
            </w:r>
          </w:p>
        </w:tc>
        <w:tc>
          <w:tcPr>
            <w:tcW w:w="1260" w:type="dxa"/>
          </w:tcPr>
          <w:p w14:paraId="1DB7184C" w14:textId="20EA4ED8" w:rsidR="0023578E" w:rsidRPr="00F23F98" w:rsidRDefault="003674E5">
            <w:pPr>
              <w:rPr>
                <w:sz w:val="18"/>
              </w:rPr>
            </w:pPr>
            <w:r>
              <w:rPr>
                <w:sz w:val="18"/>
              </w:rPr>
              <w:t>COBI</w:t>
            </w:r>
          </w:p>
        </w:tc>
        <w:tc>
          <w:tcPr>
            <w:tcW w:w="2880" w:type="dxa"/>
          </w:tcPr>
          <w:p w14:paraId="142BD4DC" w14:textId="6C3B2FD9" w:rsidR="0023578E" w:rsidRPr="00F23F98" w:rsidRDefault="0023578E">
            <w:pPr>
              <w:rPr>
                <w:sz w:val="18"/>
              </w:rPr>
            </w:pPr>
            <w:r w:rsidRPr="00F23F98">
              <w:rPr>
                <w:color w:val="1F497D"/>
                <w:sz w:val="18"/>
              </w:rPr>
              <w:t>yes, this is the higher estimate and is included in the table, no change needed</w:t>
            </w:r>
          </w:p>
        </w:tc>
      </w:tr>
      <w:tr w:rsidR="00330F52" w:rsidRPr="00F23F98" w14:paraId="44619F8F" w14:textId="77777777" w:rsidTr="025CC297">
        <w:tc>
          <w:tcPr>
            <w:tcW w:w="4590" w:type="dxa"/>
          </w:tcPr>
          <w:p w14:paraId="3AEAE639" w14:textId="1C565949" w:rsidR="00330F52" w:rsidRPr="00F23F98" w:rsidRDefault="0023578E">
            <w:pPr>
              <w:rPr>
                <w:sz w:val="18"/>
              </w:rPr>
            </w:pPr>
            <w:r w:rsidRPr="00F23F98">
              <w:rPr>
                <w:color w:val="1F497D"/>
                <w:sz w:val="18"/>
              </w:rPr>
              <w:t>seems like text is out of place</w:t>
            </w:r>
          </w:p>
        </w:tc>
        <w:tc>
          <w:tcPr>
            <w:tcW w:w="1710" w:type="dxa"/>
          </w:tcPr>
          <w:p w14:paraId="608EDD91" w14:textId="75EEA81B" w:rsidR="00330F52" w:rsidRPr="00F23F98" w:rsidRDefault="0023578E">
            <w:pPr>
              <w:rPr>
                <w:sz w:val="18"/>
              </w:rPr>
            </w:pPr>
            <w:r w:rsidRPr="00F23F98">
              <w:rPr>
                <w:color w:val="1F497D"/>
                <w:sz w:val="18"/>
              </w:rPr>
              <w:t>Page 79</w:t>
            </w:r>
          </w:p>
        </w:tc>
        <w:tc>
          <w:tcPr>
            <w:tcW w:w="1260" w:type="dxa"/>
          </w:tcPr>
          <w:p w14:paraId="63D6DABE" w14:textId="09F6B90E" w:rsidR="00330F52" w:rsidRPr="00DD4D49" w:rsidRDefault="0023578E">
            <w:pPr>
              <w:rPr>
                <w:sz w:val="18"/>
              </w:rPr>
            </w:pPr>
            <w:r w:rsidRPr="00DD4D49">
              <w:rPr>
                <w:sz w:val="18"/>
              </w:rPr>
              <w:t>COBI</w:t>
            </w:r>
          </w:p>
        </w:tc>
        <w:tc>
          <w:tcPr>
            <w:tcW w:w="2880" w:type="dxa"/>
          </w:tcPr>
          <w:p w14:paraId="44928769" w14:textId="68CC1334" w:rsidR="00330F52" w:rsidRPr="00DD4D49" w:rsidRDefault="025CC297" w:rsidP="025CC297">
            <w:pPr>
              <w:rPr>
                <w:sz w:val="18"/>
                <w:szCs w:val="18"/>
              </w:rPr>
            </w:pPr>
            <w:r w:rsidRPr="00DD4D49">
              <w:rPr>
                <w:color w:val="1F497D"/>
                <w:sz w:val="18"/>
                <w:szCs w:val="18"/>
              </w:rPr>
              <w:t>Angela flagged in plan but did not make change</w:t>
            </w:r>
          </w:p>
        </w:tc>
      </w:tr>
      <w:tr w:rsidR="0023578E" w:rsidRPr="00F23F98" w14:paraId="1E2E2CD9" w14:textId="77777777" w:rsidTr="025CC297">
        <w:tc>
          <w:tcPr>
            <w:tcW w:w="4590" w:type="dxa"/>
          </w:tcPr>
          <w:p w14:paraId="21F72427" w14:textId="08D17390" w:rsidR="0023578E" w:rsidRPr="00F23F98" w:rsidRDefault="0023578E">
            <w:pPr>
              <w:rPr>
                <w:sz w:val="18"/>
              </w:rPr>
            </w:pPr>
            <w:r w:rsidRPr="00F23F98">
              <w:rPr>
                <w:color w:val="1F497D"/>
                <w:sz w:val="18"/>
              </w:rPr>
              <w:t>This watershed plan also has an offset target of 1,218 AF/</w:t>
            </w:r>
            <w:proofErr w:type="spellStart"/>
            <w:r w:rsidRPr="00F23F98">
              <w:rPr>
                <w:color w:val="1F497D"/>
                <w:sz w:val="18"/>
              </w:rPr>
              <w:t>yr</w:t>
            </w:r>
            <w:proofErr w:type="spellEnd"/>
            <w:r w:rsidRPr="00F23F98">
              <w:rPr>
                <w:color w:val="1F497D"/>
                <w:sz w:val="18"/>
              </w:rPr>
              <w:t xml:space="preserve"> for project implementation in order to benefit </w:t>
            </w:r>
            <w:r w:rsidRPr="00F23F98">
              <w:rPr>
                <w:strike/>
                <w:color w:val="1F497D"/>
                <w:sz w:val="18"/>
                <w:highlight w:val="yellow"/>
              </w:rPr>
              <w:t>to</w:t>
            </w:r>
            <w:r w:rsidRPr="00F23F98">
              <w:rPr>
                <w:color w:val="1F497D"/>
                <w:sz w:val="18"/>
              </w:rPr>
              <w:t xml:space="preserve"> streams.</w:t>
            </w:r>
          </w:p>
        </w:tc>
        <w:tc>
          <w:tcPr>
            <w:tcW w:w="1710" w:type="dxa"/>
          </w:tcPr>
          <w:p w14:paraId="4CD89C31" w14:textId="77777777" w:rsidR="0023578E" w:rsidRPr="00F23F98" w:rsidRDefault="0023578E" w:rsidP="0023578E">
            <w:pPr>
              <w:rPr>
                <w:color w:val="1F497D"/>
                <w:sz w:val="18"/>
              </w:rPr>
            </w:pPr>
            <w:r w:rsidRPr="00F23F98">
              <w:rPr>
                <w:color w:val="1F497D"/>
                <w:sz w:val="18"/>
              </w:rPr>
              <w:t xml:space="preserve">Page 83 (second sentence): </w:t>
            </w:r>
          </w:p>
          <w:p w14:paraId="2132BB5F" w14:textId="77777777" w:rsidR="0023578E" w:rsidRPr="00F23F98" w:rsidRDefault="0023578E">
            <w:pPr>
              <w:rPr>
                <w:sz w:val="18"/>
              </w:rPr>
            </w:pPr>
          </w:p>
        </w:tc>
        <w:tc>
          <w:tcPr>
            <w:tcW w:w="1260" w:type="dxa"/>
          </w:tcPr>
          <w:p w14:paraId="324ADEC4" w14:textId="2A2F8AAF" w:rsidR="0023578E" w:rsidRPr="00F23F98" w:rsidRDefault="0023578E">
            <w:pPr>
              <w:rPr>
                <w:sz w:val="18"/>
              </w:rPr>
            </w:pPr>
            <w:r w:rsidRPr="00F23F98">
              <w:rPr>
                <w:sz w:val="18"/>
              </w:rPr>
              <w:t>COBI</w:t>
            </w:r>
          </w:p>
        </w:tc>
        <w:tc>
          <w:tcPr>
            <w:tcW w:w="2880" w:type="dxa"/>
          </w:tcPr>
          <w:p w14:paraId="7D50C1F7" w14:textId="0F99ECC3" w:rsidR="0023578E" w:rsidRPr="00F23F98" w:rsidRDefault="0023578E">
            <w:pPr>
              <w:rPr>
                <w:sz w:val="18"/>
              </w:rPr>
            </w:pPr>
            <w:r w:rsidRPr="00F23F98">
              <w:rPr>
                <w:sz w:val="18"/>
              </w:rPr>
              <w:t>completed</w:t>
            </w:r>
          </w:p>
        </w:tc>
      </w:tr>
      <w:tr w:rsidR="0023578E" w:rsidRPr="00F23F98" w14:paraId="6121DDB1" w14:textId="77777777" w:rsidTr="025CC297">
        <w:tc>
          <w:tcPr>
            <w:tcW w:w="4590" w:type="dxa"/>
          </w:tcPr>
          <w:p w14:paraId="13463203" w14:textId="7DEA4496" w:rsidR="0023578E" w:rsidRPr="00F23F98" w:rsidRDefault="0023578E">
            <w:pPr>
              <w:rPr>
                <w:sz w:val="18"/>
              </w:rPr>
            </w:pPr>
            <w:r w:rsidRPr="00F23F98">
              <w:rPr>
                <w:color w:val="1F497D"/>
                <w:sz w:val="18"/>
              </w:rPr>
              <w:t>Bainbridge Island is circled – comment = “high growth # presented here, not moderate</w:t>
            </w:r>
          </w:p>
        </w:tc>
        <w:tc>
          <w:tcPr>
            <w:tcW w:w="1710" w:type="dxa"/>
          </w:tcPr>
          <w:p w14:paraId="06F9476E" w14:textId="5E831332" w:rsidR="0023578E" w:rsidRPr="00F23F98" w:rsidRDefault="0023578E">
            <w:pPr>
              <w:rPr>
                <w:sz w:val="18"/>
              </w:rPr>
            </w:pPr>
            <w:r w:rsidRPr="00F23F98">
              <w:rPr>
                <w:color w:val="1F497D"/>
                <w:sz w:val="18"/>
              </w:rPr>
              <w:t>Page 107</w:t>
            </w:r>
          </w:p>
        </w:tc>
        <w:tc>
          <w:tcPr>
            <w:tcW w:w="1260" w:type="dxa"/>
          </w:tcPr>
          <w:p w14:paraId="2435EC21" w14:textId="0AB9CC78" w:rsidR="0023578E" w:rsidRPr="00F23F98" w:rsidRDefault="0023578E">
            <w:pPr>
              <w:rPr>
                <w:sz w:val="18"/>
              </w:rPr>
            </w:pPr>
            <w:r w:rsidRPr="00F23F98">
              <w:rPr>
                <w:sz w:val="18"/>
              </w:rPr>
              <w:t>COBI</w:t>
            </w:r>
          </w:p>
        </w:tc>
        <w:tc>
          <w:tcPr>
            <w:tcW w:w="2880" w:type="dxa"/>
          </w:tcPr>
          <w:p w14:paraId="43B06510" w14:textId="4D7381ED" w:rsidR="0023578E" w:rsidRPr="00F23F98" w:rsidRDefault="0023578E">
            <w:pPr>
              <w:rPr>
                <w:sz w:val="18"/>
              </w:rPr>
            </w:pPr>
            <w:r w:rsidRPr="00F23F98">
              <w:rPr>
                <w:sz w:val="18"/>
              </w:rPr>
              <w:t>This is high growth table, no change needed</w:t>
            </w:r>
          </w:p>
        </w:tc>
      </w:tr>
      <w:tr w:rsidR="0023578E" w:rsidRPr="00F23F98" w14:paraId="5B49B584" w14:textId="77777777" w:rsidTr="025CC297">
        <w:tc>
          <w:tcPr>
            <w:tcW w:w="4590" w:type="dxa"/>
          </w:tcPr>
          <w:p w14:paraId="645831A5" w14:textId="4E84C950" w:rsidR="0023578E" w:rsidRPr="00F23F98" w:rsidRDefault="0023578E" w:rsidP="0023578E">
            <w:pPr>
              <w:rPr>
                <w:rFonts w:eastAsiaTheme="minorEastAsia"/>
                <w:color w:val="1F497D"/>
                <w:sz w:val="18"/>
              </w:rPr>
            </w:pPr>
            <w:r w:rsidRPr="00F23F98">
              <w:rPr>
                <w:color w:val="1F497D"/>
                <w:sz w:val="18"/>
              </w:rPr>
              <w:t>Need to fix maps with the moderate well numbers not the higher well numbers, and the CU estimate; Need to update maps with revised surplus/deficit numbers</w:t>
            </w:r>
          </w:p>
          <w:p w14:paraId="582DEA6C" w14:textId="0FBDECAF" w:rsidR="0023578E" w:rsidRPr="00F23F98" w:rsidRDefault="0023578E">
            <w:pPr>
              <w:rPr>
                <w:sz w:val="18"/>
              </w:rPr>
            </w:pPr>
          </w:p>
        </w:tc>
        <w:tc>
          <w:tcPr>
            <w:tcW w:w="1710" w:type="dxa"/>
          </w:tcPr>
          <w:p w14:paraId="748720BA" w14:textId="11F17335" w:rsidR="0023578E" w:rsidRPr="00F23F98" w:rsidRDefault="0023578E">
            <w:pPr>
              <w:rPr>
                <w:sz w:val="18"/>
              </w:rPr>
            </w:pPr>
            <w:r w:rsidRPr="00F23F98">
              <w:rPr>
                <w:sz w:val="18"/>
              </w:rPr>
              <w:t>Throughout</w:t>
            </w:r>
          </w:p>
        </w:tc>
        <w:tc>
          <w:tcPr>
            <w:tcW w:w="1260" w:type="dxa"/>
          </w:tcPr>
          <w:p w14:paraId="7EFF6432" w14:textId="7A961725" w:rsidR="0023578E" w:rsidRPr="00F23F98" w:rsidRDefault="0023578E">
            <w:pPr>
              <w:rPr>
                <w:sz w:val="18"/>
              </w:rPr>
            </w:pPr>
            <w:r w:rsidRPr="00F23F98">
              <w:rPr>
                <w:sz w:val="18"/>
              </w:rPr>
              <w:t>Ecology</w:t>
            </w:r>
          </w:p>
        </w:tc>
        <w:tc>
          <w:tcPr>
            <w:tcW w:w="2880" w:type="dxa"/>
          </w:tcPr>
          <w:p w14:paraId="26B3D045" w14:textId="6EFA3360" w:rsidR="0023578E" w:rsidRPr="00F23F98" w:rsidRDefault="00DD4D49">
            <w:pPr>
              <w:rPr>
                <w:sz w:val="18"/>
              </w:rPr>
            </w:pPr>
            <w:r w:rsidRPr="00DD4D49">
              <w:rPr>
                <w:sz w:val="18"/>
                <w:highlight w:val="yellow"/>
              </w:rPr>
              <w:t>Change needed</w:t>
            </w:r>
            <w:r>
              <w:rPr>
                <w:sz w:val="18"/>
                <w:highlight w:val="yellow"/>
              </w:rPr>
              <w:t>,</w:t>
            </w:r>
            <w:r w:rsidRPr="00DD4D49">
              <w:rPr>
                <w:sz w:val="18"/>
                <w:highlight w:val="yellow"/>
              </w:rPr>
              <w:t xml:space="preserve"> will be made after final meeting</w:t>
            </w:r>
          </w:p>
        </w:tc>
      </w:tr>
      <w:tr w:rsidR="0023578E" w:rsidRPr="00F23F98" w14:paraId="6795E88D" w14:textId="77777777" w:rsidTr="025CC297">
        <w:tc>
          <w:tcPr>
            <w:tcW w:w="4590" w:type="dxa"/>
          </w:tcPr>
          <w:p w14:paraId="50DA1200" w14:textId="781534B8" w:rsidR="0023578E" w:rsidRPr="00F23F98" w:rsidRDefault="0023578E" w:rsidP="0023578E">
            <w:pPr>
              <w:rPr>
                <w:sz w:val="18"/>
              </w:rPr>
            </w:pPr>
            <w:r w:rsidRPr="00F23F98">
              <w:rPr>
                <w:sz w:val="18"/>
              </w:rPr>
              <w:t>Revise highlighted text with date plan was approved by committee. (Anticipated April 26)</w:t>
            </w:r>
          </w:p>
          <w:p w14:paraId="632BF269" w14:textId="77777777" w:rsidR="0023578E" w:rsidRPr="00F23F98" w:rsidRDefault="0023578E">
            <w:pPr>
              <w:rPr>
                <w:sz w:val="18"/>
              </w:rPr>
            </w:pPr>
          </w:p>
        </w:tc>
        <w:tc>
          <w:tcPr>
            <w:tcW w:w="1710" w:type="dxa"/>
          </w:tcPr>
          <w:p w14:paraId="27FF968A" w14:textId="2431A7AC" w:rsidR="0023578E" w:rsidRPr="00F23F98" w:rsidRDefault="0023578E">
            <w:pPr>
              <w:rPr>
                <w:sz w:val="18"/>
              </w:rPr>
            </w:pPr>
            <w:r w:rsidRPr="00F23F98">
              <w:rPr>
                <w:sz w:val="18"/>
              </w:rPr>
              <w:t>Throughout</w:t>
            </w:r>
          </w:p>
        </w:tc>
        <w:tc>
          <w:tcPr>
            <w:tcW w:w="1260" w:type="dxa"/>
          </w:tcPr>
          <w:p w14:paraId="133EF14B" w14:textId="5E100A8D" w:rsidR="0023578E" w:rsidRPr="00F23F98" w:rsidRDefault="0023578E">
            <w:pPr>
              <w:rPr>
                <w:sz w:val="18"/>
              </w:rPr>
            </w:pPr>
            <w:r w:rsidRPr="00F23F98">
              <w:rPr>
                <w:sz w:val="18"/>
              </w:rPr>
              <w:t>Ecology</w:t>
            </w:r>
          </w:p>
        </w:tc>
        <w:tc>
          <w:tcPr>
            <w:tcW w:w="2880" w:type="dxa"/>
          </w:tcPr>
          <w:p w14:paraId="70BB96D2" w14:textId="0F91EE20" w:rsidR="0023578E" w:rsidRPr="00DD4D49" w:rsidRDefault="0023578E">
            <w:pPr>
              <w:rPr>
                <w:sz w:val="18"/>
              </w:rPr>
            </w:pPr>
            <w:r w:rsidRPr="00DD4D49">
              <w:rPr>
                <w:sz w:val="18"/>
                <w:highlight w:val="yellow"/>
              </w:rPr>
              <w:t>Change needed</w:t>
            </w:r>
            <w:r w:rsidR="00DD4D49">
              <w:rPr>
                <w:sz w:val="18"/>
                <w:highlight w:val="yellow"/>
              </w:rPr>
              <w:t>,</w:t>
            </w:r>
            <w:r w:rsidR="00DD4D49" w:rsidRPr="00DD4D49">
              <w:rPr>
                <w:sz w:val="18"/>
                <w:highlight w:val="yellow"/>
              </w:rPr>
              <w:t xml:space="preserve"> will be made after final meeting</w:t>
            </w:r>
          </w:p>
        </w:tc>
      </w:tr>
      <w:tr w:rsidR="0023578E" w:rsidRPr="00F23F98" w14:paraId="61CD8A3B" w14:textId="77777777" w:rsidTr="025CC297">
        <w:tc>
          <w:tcPr>
            <w:tcW w:w="4590" w:type="dxa"/>
          </w:tcPr>
          <w:p w14:paraId="7647FE08" w14:textId="77777777" w:rsidR="0023578E" w:rsidRPr="00F23F98" w:rsidRDefault="0023578E" w:rsidP="0023578E">
            <w:pPr>
              <w:rPr>
                <w:color w:val="1F497D"/>
                <w:sz w:val="18"/>
              </w:rPr>
            </w:pPr>
            <w:r w:rsidRPr="00F23F98">
              <w:rPr>
                <w:color w:val="1F497D"/>
                <w:sz w:val="18"/>
              </w:rPr>
              <w:t xml:space="preserve">Discussion with WDFW: Since the term consensus as the Committees have been using them is defined in the operating principles, </w:t>
            </w:r>
            <w:proofErr w:type="gramStart"/>
            <w:r w:rsidRPr="00F23F98">
              <w:rPr>
                <w:color w:val="1F497D"/>
                <w:sz w:val="18"/>
              </w:rPr>
              <w:t>we’d</w:t>
            </w:r>
            <w:proofErr w:type="gramEnd"/>
            <w:r w:rsidRPr="00F23F98">
              <w:rPr>
                <w:color w:val="1F497D"/>
                <w:sz w:val="18"/>
              </w:rPr>
              <w:t xml:space="preserve"> like to suggest that we add a footnote in the plan for the first instance of “consensus” that points to the appendix instead of adding the term to the glossary.</w:t>
            </w:r>
          </w:p>
          <w:p w14:paraId="001F19A6" w14:textId="77777777" w:rsidR="0023578E" w:rsidRPr="00F23F98" w:rsidRDefault="0023578E">
            <w:pPr>
              <w:rPr>
                <w:sz w:val="18"/>
              </w:rPr>
            </w:pPr>
          </w:p>
        </w:tc>
        <w:tc>
          <w:tcPr>
            <w:tcW w:w="1710" w:type="dxa"/>
          </w:tcPr>
          <w:p w14:paraId="4427AD0D" w14:textId="77777777" w:rsidR="0023578E" w:rsidRPr="00F23F98" w:rsidRDefault="0023578E">
            <w:pPr>
              <w:rPr>
                <w:sz w:val="18"/>
              </w:rPr>
            </w:pPr>
          </w:p>
        </w:tc>
        <w:tc>
          <w:tcPr>
            <w:tcW w:w="1260" w:type="dxa"/>
          </w:tcPr>
          <w:p w14:paraId="4126AAF5" w14:textId="40753177" w:rsidR="0023578E" w:rsidRPr="00F23F98" w:rsidRDefault="0023578E">
            <w:pPr>
              <w:rPr>
                <w:sz w:val="18"/>
              </w:rPr>
            </w:pPr>
            <w:r w:rsidRPr="00F23F98">
              <w:rPr>
                <w:sz w:val="18"/>
              </w:rPr>
              <w:t>WDFW</w:t>
            </w:r>
          </w:p>
        </w:tc>
        <w:tc>
          <w:tcPr>
            <w:tcW w:w="2880" w:type="dxa"/>
          </w:tcPr>
          <w:p w14:paraId="03795C10" w14:textId="0428B8FC" w:rsidR="0023578E" w:rsidRPr="00F23F98" w:rsidRDefault="0023578E">
            <w:pPr>
              <w:rPr>
                <w:sz w:val="18"/>
              </w:rPr>
            </w:pPr>
            <w:r w:rsidRPr="00F23F98">
              <w:rPr>
                <w:sz w:val="18"/>
              </w:rPr>
              <w:t>completed</w:t>
            </w:r>
          </w:p>
        </w:tc>
      </w:tr>
      <w:tr w:rsidR="0023578E" w:rsidRPr="00F23F98" w14:paraId="070BA224" w14:textId="77777777" w:rsidTr="025CC297">
        <w:tc>
          <w:tcPr>
            <w:tcW w:w="4590" w:type="dxa"/>
          </w:tcPr>
          <w:p w14:paraId="4A69C843" w14:textId="77777777" w:rsidR="00F23F98" w:rsidRPr="00F23F98" w:rsidRDefault="00F23F98" w:rsidP="00F23F98">
            <w:pPr>
              <w:rPr>
                <w:sz w:val="18"/>
              </w:rPr>
            </w:pPr>
            <w:r w:rsidRPr="00F23F98">
              <w:rPr>
                <w:sz w:val="18"/>
              </w:rPr>
              <w:t>After consultation with other Tribes, we are proposing some small changes to the language regarding Tribal Treaty rights:</w:t>
            </w:r>
          </w:p>
          <w:p w14:paraId="57348CC7" w14:textId="77777777" w:rsidR="00F23F98" w:rsidRPr="00F23F98" w:rsidRDefault="00F23F98" w:rsidP="00F23F98">
            <w:pPr>
              <w:ind w:left="720"/>
              <w:rPr>
                <w:i/>
                <w:iCs/>
                <w:sz w:val="18"/>
              </w:rPr>
            </w:pPr>
            <w:r w:rsidRPr="00F23F98">
              <w:rPr>
                <w:i/>
                <w:iCs/>
                <w:sz w:val="18"/>
              </w:rPr>
              <w:t xml:space="preserve">The Tribes hold Treaty-reserved water rights in WRIA __ under federal law that are necessary to support healthy salmon populations; to support and maintain hunting, fishing and cultural resource harvesting right; and to meet all homeland purposes reserved by the Treaties.  These reserved water rights are necessary to fulfill the promises and purpose of the Treaties.  Federal Indian water rights retain a senior priority date over all other federal and state water rights holders and state instream flow rules.  Although federal Indian water rights in WRIA __ have yet to </w:t>
            </w:r>
            <w:proofErr w:type="gramStart"/>
            <w:r w:rsidRPr="00F23F98">
              <w:rPr>
                <w:i/>
                <w:iCs/>
                <w:sz w:val="18"/>
              </w:rPr>
              <w:t>be adjudicated</w:t>
            </w:r>
            <w:proofErr w:type="gramEnd"/>
            <w:r w:rsidRPr="00F23F98">
              <w:rPr>
                <w:i/>
                <w:iCs/>
                <w:sz w:val="18"/>
              </w:rPr>
              <w:t>, these rights are senior to all other rights and have not been accounted for by the State of Washington in the way in which the State determines water availability, over appropriation, and instream flow rules.</w:t>
            </w:r>
          </w:p>
          <w:p w14:paraId="32E8E59F" w14:textId="77777777" w:rsidR="0023578E" w:rsidRPr="00F23F98" w:rsidRDefault="0023578E">
            <w:pPr>
              <w:rPr>
                <w:sz w:val="18"/>
              </w:rPr>
            </w:pPr>
          </w:p>
        </w:tc>
        <w:tc>
          <w:tcPr>
            <w:tcW w:w="1710" w:type="dxa"/>
          </w:tcPr>
          <w:p w14:paraId="2BBDD1DD" w14:textId="77777777" w:rsidR="0023578E" w:rsidRPr="00F23F98" w:rsidRDefault="0023578E">
            <w:pPr>
              <w:rPr>
                <w:sz w:val="18"/>
              </w:rPr>
            </w:pPr>
          </w:p>
        </w:tc>
        <w:tc>
          <w:tcPr>
            <w:tcW w:w="1260" w:type="dxa"/>
          </w:tcPr>
          <w:p w14:paraId="2C28E19B" w14:textId="05FF4691" w:rsidR="0023578E" w:rsidRPr="00F23F98" w:rsidRDefault="00F23F98">
            <w:pPr>
              <w:rPr>
                <w:sz w:val="18"/>
              </w:rPr>
            </w:pPr>
            <w:r w:rsidRPr="00F23F98">
              <w:rPr>
                <w:sz w:val="18"/>
              </w:rPr>
              <w:t>Squaxin</w:t>
            </w:r>
          </w:p>
        </w:tc>
        <w:tc>
          <w:tcPr>
            <w:tcW w:w="2880" w:type="dxa"/>
          </w:tcPr>
          <w:p w14:paraId="3763B460" w14:textId="254819CF" w:rsidR="0023578E" w:rsidRPr="00F23F98" w:rsidRDefault="00F23F98">
            <w:pPr>
              <w:rPr>
                <w:sz w:val="18"/>
              </w:rPr>
            </w:pPr>
            <w:r w:rsidRPr="00F23F98">
              <w:rPr>
                <w:sz w:val="18"/>
              </w:rPr>
              <w:t>Completed</w:t>
            </w:r>
          </w:p>
        </w:tc>
      </w:tr>
      <w:tr w:rsidR="0023578E" w:rsidRPr="00F23F98" w14:paraId="2BBC2373" w14:textId="77777777" w:rsidTr="025CC297">
        <w:tc>
          <w:tcPr>
            <w:tcW w:w="4590" w:type="dxa"/>
          </w:tcPr>
          <w:p w14:paraId="51B3EAFF" w14:textId="50816A95" w:rsidR="0023578E" w:rsidRPr="00F23F98" w:rsidRDefault="00F23F98">
            <w:pPr>
              <w:rPr>
                <w:sz w:val="18"/>
              </w:rPr>
            </w:pPr>
            <w:r w:rsidRPr="00F23F98">
              <w:rPr>
                <w:color w:val="000000" w:themeColor="text1"/>
                <w:sz w:val="18"/>
              </w:rPr>
              <w:t>Consider removing the word ‘likely’ from the second sentence</w:t>
            </w:r>
          </w:p>
        </w:tc>
        <w:tc>
          <w:tcPr>
            <w:tcW w:w="1710" w:type="dxa"/>
          </w:tcPr>
          <w:p w14:paraId="7E4B2295" w14:textId="5AE99036" w:rsidR="0023578E" w:rsidRPr="00F23F98" w:rsidRDefault="00F23F98">
            <w:pPr>
              <w:rPr>
                <w:sz w:val="18"/>
              </w:rPr>
            </w:pPr>
            <w:r w:rsidRPr="00F23F98">
              <w:rPr>
                <w:color w:val="000000" w:themeColor="text1"/>
                <w:sz w:val="18"/>
              </w:rPr>
              <w:t>P. 18 – Section 2.1.4</w:t>
            </w:r>
          </w:p>
        </w:tc>
        <w:tc>
          <w:tcPr>
            <w:tcW w:w="1260" w:type="dxa"/>
          </w:tcPr>
          <w:p w14:paraId="237AA830" w14:textId="7E8E958C" w:rsidR="0023578E" w:rsidRPr="00F23F98" w:rsidRDefault="00F23F98">
            <w:pPr>
              <w:rPr>
                <w:sz w:val="18"/>
              </w:rPr>
            </w:pPr>
            <w:r w:rsidRPr="00F23F98">
              <w:rPr>
                <w:sz w:val="18"/>
              </w:rPr>
              <w:t>COBI</w:t>
            </w:r>
          </w:p>
        </w:tc>
        <w:tc>
          <w:tcPr>
            <w:tcW w:w="2880" w:type="dxa"/>
          </w:tcPr>
          <w:p w14:paraId="33930F3B" w14:textId="658297BA" w:rsidR="0023578E" w:rsidRPr="00F23F98" w:rsidRDefault="025CC297" w:rsidP="025CC297">
            <w:pPr>
              <w:rPr>
                <w:sz w:val="18"/>
                <w:szCs w:val="18"/>
              </w:rPr>
            </w:pPr>
            <w:r w:rsidRPr="00DD4D49">
              <w:rPr>
                <w:color w:val="000000" w:themeColor="text1"/>
                <w:sz w:val="18"/>
                <w:szCs w:val="18"/>
              </w:rPr>
              <w:t xml:space="preserve">Angela flagged in plan. Response: That </w:t>
            </w:r>
            <w:proofErr w:type="gramStart"/>
            <w:r w:rsidRPr="00DD4D49">
              <w:rPr>
                <w:color w:val="000000" w:themeColor="text1"/>
                <w:sz w:val="18"/>
                <w:szCs w:val="18"/>
              </w:rPr>
              <w:t>may be pulled</w:t>
            </w:r>
            <w:proofErr w:type="gramEnd"/>
            <w:r w:rsidRPr="00DD4D49">
              <w:rPr>
                <w:color w:val="000000" w:themeColor="text1"/>
                <w:sz w:val="18"/>
                <w:szCs w:val="18"/>
              </w:rPr>
              <w:t xml:space="preserve"> from the report that is cited, but I can confirm and mention to the committee the proposed change to make sure no issues.</w:t>
            </w:r>
          </w:p>
        </w:tc>
      </w:tr>
      <w:tr w:rsidR="0023578E" w:rsidRPr="00F23F98" w14:paraId="315322EC" w14:textId="77777777" w:rsidTr="025CC297">
        <w:tc>
          <w:tcPr>
            <w:tcW w:w="4590" w:type="dxa"/>
          </w:tcPr>
          <w:p w14:paraId="285D0B23" w14:textId="5051CDD6" w:rsidR="0023578E" w:rsidRPr="00F23F98" w:rsidRDefault="00F23F98">
            <w:pPr>
              <w:rPr>
                <w:sz w:val="18"/>
              </w:rPr>
            </w:pPr>
            <w:r w:rsidRPr="00F23F98">
              <w:rPr>
                <w:color w:val="000000" w:themeColor="text1"/>
                <w:sz w:val="18"/>
              </w:rPr>
              <w:t xml:space="preserve">Consider adding QA1 to the list of sources to the recharge and </w:t>
            </w:r>
            <w:proofErr w:type="spellStart"/>
            <w:r w:rsidRPr="00F23F98">
              <w:rPr>
                <w:color w:val="000000" w:themeColor="text1"/>
                <w:sz w:val="18"/>
              </w:rPr>
              <w:t>baseflow</w:t>
            </w:r>
            <w:proofErr w:type="spellEnd"/>
            <w:r w:rsidRPr="00F23F98">
              <w:rPr>
                <w:color w:val="000000" w:themeColor="text1"/>
                <w:sz w:val="18"/>
              </w:rPr>
              <w:t xml:space="preserve"> in the fourth paragraph.</w:t>
            </w:r>
          </w:p>
        </w:tc>
        <w:tc>
          <w:tcPr>
            <w:tcW w:w="1710" w:type="dxa"/>
          </w:tcPr>
          <w:p w14:paraId="1481007B" w14:textId="0BCFC67A" w:rsidR="0023578E" w:rsidRPr="00F23F98" w:rsidRDefault="00F23F98">
            <w:pPr>
              <w:rPr>
                <w:sz w:val="18"/>
              </w:rPr>
            </w:pPr>
            <w:r w:rsidRPr="00F23F98">
              <w:rPr>
                <w:sz w:val="18"/>
              </w:rPr>
              <w:t>22</w:t>
            </w:r>
          </w:p>
        </w:tc>
        <w:tc>
          <w:tcPr>
            <w:tcW w:w="1260" w:type="dxa"/>
          </w:tcPr>
          <w:p w14:paraId="33FC1C17" w14:textId="688C70C4" w:rsidR="0023578E" w:rsidRPr="00F23F98" w:rsidRDefault="00F23F98">
            <w:pPr>
              <w:rPr>
                <w:sz w:val="18"/>
              </w:rPr>
            </w:pPr>
            <w:r w:rsidRPr="00F23F98">
              <w:rPr>
                <w:sz w:val="18"/>
              </w:rPr>
              <w:t>COBI</w:t>
            </w:r>
          </w:p>
        </w:tc>
        <w:tc>
          <w:tcPr>
            <w:tcW w:w="2880" w:type="dxa"/>
          </w:tcPr>
          <w:p w14:paraId="69CE7B0A" w14:textId="58B86BD8" w:rsidR="0023578E" w:rsidRPr="00DD4D49" w:rsidRDefault="025CC297" w:rsidP="025CC297">
            <w:pPr>
              <w:rPr>
                <w:sz w:val="18"/>
                <w:szCs w:val="18"/>
              </w:rPr>
            </w:pPr>
            <w:r w:rsidRPr="00DD4D49">
              <w:rPr>
                <w:color w:val="000000" w:themeColor="text1"/>
                <w:sz w:val="18"/>
                <w:szCs w:val="18"/>
              </w:rPr>
              <w:t>Angela flagged in plan. Response: No issue with this, I can confirm with HDR and let the committee know of the change.</w:t>
            </w:r>
          </w:p>
        </w:tc>
      </w:tr>
      <w:tr w:rsidR="00F23F98" w:rsidRPr="00F23F98" w14:paraId="1556398A" w14:textId="77777777" w:rsidTr="025CC297">
        <w:tc>
          <w:tcPr>
            <w:tcW w:w="4590" w:type="dxa"/>
          </w:tcPr>
          <w:p w14:paraId="2A79A1C0" w14:textId="6E627A22" w:rsidR="00F23F98" w:rsidRPr="00F23F98" w:rsidRDefault="00F23F98">
            <w:pPr>
              <w:rPr>
                <w:sz w:val="18"/>
              </w:rPr>
            </w:pPr>
            <w:r w:rsidRPr="00F23F98">
              <w:rPr>
                <w:color w:val="000000" w:themeColor="text1"/>
                <w:sz w:val="18"/>
              </w:rPr>
              <w:t>Consider including a better explanation at the beginning of the report about why 766 AF/</w:t>
            </w:r>
            <w:proofErr w:type="spellStart"/>
            <w:r w:rsidRPr="00F23F98">
              <w:rPr>
                <w:color w:val="000000" w:themeColor="text1"/>
                <w:sz w:val="18"/>
              </w:rPr>
              <w:t>yr</w:t>
            </w:r>
            <w:proofErr w:type="spellEnd"/>
            <w:r w:rsidRPr="00F23F98">
              <w:rPr>
                <w:color w:val="000000" w:themeColor="text1"/>
                <w:sz w:val="18"/>
              </w:rPr>
              <w:t xml:space="preserve"> and 1218 AF/</w:t>
            </w:r>
            <w:proofErr w:type="spellStart"/>
            <w:r w:rsidRPr="00F23F98">
              <w:rPr>
                <w:color w:val="000000" w:themeColor="text1"/>
                <w:sz w:val="18"/>
              </w:rPr>
              <w:t>yr</w:t>
            </w:r>
            <w:proofErr w:type="spellEnd"/>
            <w:r w:rsidRPr="00F23F98">
              <w:rPr>
                <w:color w:val="000000" w:themeColor="text1"/>
                <w:sz w:val="18"/>
              </w:rPr>
              <w:t xml:space="preserve"> </w:t>
            </w:r>
            <w:proofErr w:type="gramStart"/>
            <w:r w:rsidRPr="00F23F98">
              <w:rPr>
                <w:color w:val="000000" w:themeColor="text1"/>
                <w:sz w:val="18"/>
              </w:rPr>
              <w:t>are both used</w:t>
            </w:r>
            <w:proofErr w:type="gramEnd"/>
            <w:r w:rsidRPr="00F23F98">
              <w:rPr>
                <w:color w:val="000000" w:themeColor="text1"/>
                <w:sz w:val="18"/>
              </w:rPr>
              <w:t xml:space="preserve"> as offset targets. Then consistently use the same language to describe the two targets throughout the report.</w:t>
            </w:r>
          </w:p>
        </w:tc>
        <w:tc>
          <w:tcPr>
            <w:tcW w:w="1710" w:type="dxa"/>
          </w:tcPr>
          <w:p w14:paraId="173EFBB3" w14:textId="61EBFA9B" w:rsidR="00F23F98" w:rsidRPr="00F23F98" w:rsidRDefault="00F23F98">
            <w:pPr>
              <w:rPr>
                <w:sz w:val="18"/>
              </w:rPr>
            </w:pPr>
            <w:r w:rsidRPr="00F23F98">
              <w:rPr>
                <w:sz w:val="18"/>
              </w:rPr>
              <w:t>Throughout</w:t>
            </w:r>
          </w:p>
        </w:tc>
        <w:tc>
          <w:tcPr>
            <w:tcW w:w="1260" w:type="dxa"/>
          </w:tcPr>
          <w:p w14:paraId="664AB74D" w14:textId="33FF5CE1" w:rsidR="00F23F98" w:rsidRPr="00F23F98" w:rsidRDefault="00F23F98">
            <w:pPr>
              <w:rPr>
                <w:sz w:val="18"/>
              </w:rPr>
            </w:pPr>
            <w:r w:rsidRPr="00F23F98">
              <w:rPr>
                <w:sz w:val="18"/>
              </w:rPr>
              <w:t>COBI</w:t>
            </w:r>
          </w:p>
        </w:tc>
        <w:tc>
          <w:tcPr>
            <w:tcW w:w="2880" w:type="dxa"/>
          </w:tcPr>
          <w:p w14:paraId="5B66E46E" w14:textId="7F2FFDE2" w:rsidR="00F23F98" w:rsidRPr="003674E5" w:rsidRDefault="00F23F98">
            <w:pPr>
              <w:rPr>
                <w:sz w:val="18"/>
              </w:rPr>
            </w:pPr>
            <w:r w:rsidRPr="003674E5">
              <w:rPr>
                <w:color w:val="000000" w:themeColor="text1"/>
                <w:sz w:val="18"/>
              </w:rPr>
              <w:t xml:space="preserve">Response: We attempted to do this. 766 is the CU estimate and 1218 is a higher offset target. Are there places in the plan where we </w:t>
            </w:r>
            <w:proofErr w:type="gramStart"/>
            <w:r w:rsidRPr="003674E5">
              <w:rPr>
                <w:color w:val="000000" w:themeColor="text1"/>
                <w:sz w:val="18"/>
              </w:rPr>
              <w:t>weren’t</w:t>
            </w:r>
            <w:proofErr w:type="gramEnd"/>
            <w:r w:rsidRPr="003674E5">
              <w:rPr>
                <w:color w:val="000000" w:themeColor="text1"/>
                <w:sz w:val="18"/>
              </w:rPr>
              <w:t xml:space="preserve"> consistent? We worked very carefully with the committee on how we presented these two numbers: if there are proposed revisions, please provide so we can bring to the committee for discussion.</w:t>
            </w:r>
          </w:p>
        </w:tc>
      </w:tr>
      <w:tr w:rsidR="00F23F98" w:rsidRPr="00F23F98" w14:paraId="6FBE8B07" w14:textId="77777777" w:rsidTr="025CC297">
        <w:tc>
          <w:tcPr>
            <w:tcW w:w="4590" w:type="dxa"/>
          </w:tcPr>
          <w:p w14:paraId="40746B81" w14:textId="3AA9EDD8" w:rsidR="00F23F98" w:rsidRPr="00F23F98" w:rsidRDefault="00F23F98">
            <w:pPr>
              <w:rPr>
                <w:sz w:val="18"/>
              </w:rPr>
            </w:pPr>
            <w:r w:rsidRPr="00F23F98">
              <w:rPr>
                <w:color w:val="000000" w:themeColor="text1"/>
                <w:sz w:val="18"/>
              </w:rPr>
              <w:t xml:space="preserve">The rationale for how uncertainty was calculated could use a little more detail. A statement </w:t>
            </w:r>
            <w:proofErr w:type="gramStart"/>
            <w:r w:rsidRPr="00F23F98">
              <w:rPr>
                <w:color w:val="000000" w:themeColor="text1"/>
                <w:sz w:val="18"/>
              </w:rPr>
              <w:t>should be considered</w:t>
            </w:r>
            <w:proofErr w:type="gramEnd"/>
            <w:r w:rsidRPr="00F23F98">
              <w:rPr>
                <w:color w:val="000000" w:themeColor="text1"/>
                <w:sz w:val="18"/>
              </w:rPr>
              <w:t xml:space="preserve"> that addresses why this “conservative” methodology was used in lieu of other methods. Can it include a description of how the result comes out with a conservative estimate, based on previous conservative calculations earlier in the process?</w:t>
            </w:r>
          </w:p>
        </w:tc>
        <w:tc>
          <w:tcPr>
            <w:tcW w:w="1710" w:type="dxa"/>
          </w:tcPr>
          <w:p w14:paraId="4D4D05E9" w14:textId="762A52DD" w:rsidR="00F23F98" w:rsidRPr="00F23F98" w:rsidRDefault="00F23F98">
            <w:pPr>
              <w:rPr>
                <w:sz w:val="18"/>
              </w:rPr>
            </w:pPr>
            <w:r w:rsidRPr="00F23F98">
              <w:rPr>
                <w:sz w:val="18"/>
              </w:rPr>
              <w:t>199</w:t>
            </w:r>
          </w:p>
        </w:tc>
        <w:tc>
          <w:tcPr>
            <w:tcW w:w="1260" w:type="dxa"/>
          </w:tcPr>
          <w:p w14:paraId="1EE89184" w14:textId="30D36632" w:rsidR="00F23F98" w:rsidRPr="00F23F98" w:rsidRDefault="00F23F98">
            <w:pPr>
              <w:rPr>
                <w:sz w:val="18"/>
              </w:rPr>
            </w:pPr>
            <w:r w:rsidRPr="00F23F98">
              <w:rPr>
                <w:sz w:val="18"/>
              </w:rPr>
              <w:t>COBI</w:t>
            </w:r>
          </w:p>
        </w:tc>
        <w:tc>
          <w:tcPr>
            <w:tcW w:w="2880" w:type="dxa"/>
          </w:tcPr>
          <w:p w14:paraId="5B232E92" w14:textId="13F00F2B" w:rsidR="00F23F98" w:rsidRPr="00DD4D49" w:rsidRDefault="025CC297" w:rsidP="025CC297">
            <w:pPr>
              <w:rPr>
                <w:sz w:val="18"/>
                <w:szCs w:val="18"/>
              </w:rPr>
            </w:pPr>
            <w:r w:rsidRPr="00DD4D49">
              <w:rPr>
                <w:sz w:val="18"/>
                <w:szCs w:val="18"/>
              </w:rPr>
              <w:t xml:space="preserve">Angela flagged in plan. Response: I think I would need more discussion on this topic and a better understanding of what </w:t>
            </w:r>
            <w:proofErr w:type="gramStart"/>
            <w:r w:rsidRPr="00DD4D49">
              <w:rPr>
                <w:sz w:val="18"/>
                <w:szCs w:val="18"/>
              </w:rPr>
              <w:t>is being proposed</w:t>
            </w:r>
            <w:proofErr w:type="gramEnd"/>
            <w:r w:rsidRPr="00DD4D49">
              <w:rPr>
                <w:sz w:val="18"/>
                <w:szCs w:val="18"/>
              </w:rPr>
              <w:t xml:space="preserve">. Our consultant proposed a discounting of the potential offset benefit based on the conceptual nature of many of the projects. A discount percentage </w:t>
            </w:r>
            <w:proofErr w:type="gramStart"/>
            <w:r w:rsidRPr="00DD4D49">
              <w:rPr>
                <w:sz w:val="18"/>
                <w:szCs w:val="18"/>
              </w:rPr>
              <w:t>was proposed</w:t>
            </w:r>
            <w:proofErr w:type="gramEnd"/>
            <w:r w:rsidRPr="00DD4D49">
              <w:rPr>
                <w:sz w:val="18"/>
                <w:szCs w:val="18"/>
              </w:rPr>
              <w:t xml:space="preserve"> that was supported by the committee.</w:t>
            </w:r>
          </w:p>
        </w:tc>
      </w:tr>
      <w:tr w:rsidR="00F23F98" w:rsidRPr="00F23F98" w14:paraId="04970046" w14:textId="77777777" w:rsidTr="025CC297">
        <w:tc>
          <w:tcPr>
            <w:tcW w:w="4590" w:type="dxa"/>
          </w:tcPr>
          <w:p w14:paraId="630BEBAD" w14:textId="77777777" w:rsidR="00F23F98" w:rsidRPr="003674E5" w:rsidRDefault="00F23F98" w:rsidP="003674E5">
            <w:pPr>
              <w:spacing w:after="160" w:line="259" w:lineRule="auto"/>
              <w:contextualSpacing/>
              <w:rPr>
                <w:color w:val="000000" w:themeColor="text1"/>
                <w:sz w:val="18"/>
                <w:highlight w:val="yellow"/>
              </w:rPr>
            </w:pPr>
            <w:r w:rsidRPr="003674E5">
              <w:rPr>
                <w:color w:val="000000" w:themeColor="text1"/>
                <w:sz w:val="18"/>
              </w:rPr>
              <w:t xml:space="preserve">If the Johnson Farm project is considered a category V </w:t>
            </w:r>
            <w:proofErr w:type="gramStart"/>
            <w:r w:rsidRPr="003674E5">
              <w:rPr>
                <w:color w:val="000000" w:themeColor="text1"/>
                <w:sz w:val="18"/>
              </w:rPr>
              <w:t>project</w:t>
            </w:r>
            <w:proofErr w:type="gramEnd"/>
            <w:r w:rsidRPr="003674E5">
              <w:rPr>
                <w:color w:val="000000" w:themeColor="text1"/>
                <w:sz w:val="18"/>
              </w:rPr>
              <w:t xml:space="preserve"> should the offset be removed from the total offset anticipated for the island? I think it is currently included. </w:t>
            </w:r>
            <w:r w:rsidRPr="003674E5">
              <w:rPr>
                <w:color w:val="000000" w:themeColor="text1"/>
                <w:sz w:val="18"/>
              </w:rPr>
              <w:lastRenderedPageBreak/>
              <w:t xml:space="preserve">Also, add ‘MAR, will benefit </w:t>
            </w:r>
            <w:proofErr w:type="spellStart"/>
            <w:r w:rsidRPr="003674E5">
              <w:rPr>
                <w:color w:val="000000" w:themeColor="text1"/>
                <w:sz w:val="18"/>
              </w:rPr>
              <w:t>Springbrook</w:t>
            </w:r>
            <w:proofErr w:type="spellEnd"/>
            <w:r w:rsidRPr="003674E5">
              <w:rPr>
                <w:color w:val="000000" w:themeColor="text1"/>
                <w:sz w:val="18"/>
              </w:rPr>
              <w:t xml:space="preserve"> Creek’ to project description column of Johnson Farm. </w:t>
            </w:r>
            <w:r w:rsidRPr="003674E5">
              <w:rPr>
                <w:sz w:val="18"/>
              </w:rPr>
              <w:t xml:space="preserve">We understand that a small portion of the offset for Johnson Farm project was included even though it is legally precluded from implementation </w:t>
            </w:r>
            <w:proofErr w:type="gramStart"/>
            <w:r w:rsidRPr="003674E5">
              <w:rPr>
                <w:sz w:val="18"/>
              </w:rPr>
              <w:t>at the moment</w:t>
            </w:r>
            <w:proofErr w:type="gramEnd"/>
            <w:r w:rsidRPr="003674E5">
              <w:rPr>
                <w:sz w:val="18"/>
              </w:rPr>
              <w:t>. Can we have a notation about this showing that it is discounted 90% because it could be legal in the future or because there might be a way to redesign (reimagine) it to be legal now despite Foster</w:t>
            </w:r>
          </w:p>
          <w:p w14:paraId="21D9CE2C" w14:textId="11E6EC82" w:rsidR="00F23F98" w:rsidRPr="00F23F98" w:rsidRDefault="00F23F98">
            <w:pPr>
              <w:rPr>
                <w:sz w:val="18"/>
              </w:rPr>
            </w:pPr>
          </w:p>
        </w:tc>
        <w:tc>
          <w:tcPr>
            <w:tcW w:w="1710" w:type="dxa"/>
          </w:tcPr>
          <w:p w14:paraId="3BC7207D" w14:textId="6F588460" w:rsidR="00F23F98" w:rsidRPr="00F23F98" w:rsidRDefault="00F23F98">
            <w:pPr>
              <w:rPr>
                <w:sz w:val="18"/>
              </w:rPr>
            </w:pPr>
            <w:r w:rsidRPr="00F23F98">
              <w:rPr>
                <w:sz w:val="18"/>
              </w:rPr>
              <w:lastRenderedPageBreak/>
              <w:t>68</w:t>
            </w:r>
          </w:p>
        </w:tc>
        <w:tc>
          <w:tcPr>
            <w:tcW w:w="1260" w:type="dxa"/>
          </w:tcPr>
          <w:p w14:paraId="61361F38" w14:textId="77777777" w:rsidR="00F23F98" w:rsidRPr="00F23F98" w:rsidRDefault="00F23F98">
            <w:pPr>
              <w:rPr>
                <w:sz w:val="18"/>
              </w:rPr>
            </w:pPr>
          </w:p>
        </w:tc>
        <w:tc>
          <w:tcPr>
            <w:tcW w:w="2880" w:type="dxa"/>
          </w:tcPr>
          <w:p w14:paraId="6BE0948C" w14:textId="77777777" w:rsidR="00F23F98" w:rsidRDefault="00F23F98">
            <w:pPr>
              <w:rPr>
                <w:color w:val="000000" w:themeColor="text1"/>
                <w:sz w:val="18"/>
              </w:rPr>
            </w:pPr>
            <w:r w:rsidRPr="00482997">
              <w:rPr>
                <w:color w:val="000000" w:themeColor="text1"/>
                <w:sz w:val="18"/>
              </w:rPr>
              <w:t xml:space="preserve">Response: We went back and forth on whether to include the Johnson Farm project for offset benefits. </w:t>
            </w:r>
            <w:r w:rsidRPr="00482997">
              <w:rPr>
                <w:color w:val="000000" w:themeColor="text1"/>
                <w:sz w:val="18"/>
              </w:rPr>
              <w:lastRenderedPageBreak/>
              <w:t xml:space="preserve">Ultimately, we felt that the uncertainty of the project moving forward (due to “foster” limitations) </w:t>
            </w:r>
            <w:proofErr w:type="gramStart"/>
            <w:r w:rsidRPr="00482997">
              <w:rPr>
                <w:color w:val="000000" w:themeColor="text1"/>
                <w:sz w:val="18"/>
              </w:rPr>
              <w:t>was covered</w:t>
            </w:r>
            <w:proofErr w:type="gramEnd"/>
            <w:r w:rsidRPr="00482997">
              <w:rPr>
                <w:color w:val="000000" w:themeColor="text1"/>
                <w:sz w:val="18"/>
              </w:rPr>
              <w:t xml:space="preserve"> through the discounting of the project. Some of the other Category IV projects have greater barriers (e.g.  </w:t>
            </w:r>
            <w:proofErr w:type="gramStart"/>
            <w:r w:rsidRPr="00482997">
              <w:rPr>
                <w:color w:val="000000" w:themeColor="text1"/>
                <w:sz w:val="18"/>
              </w:rPr>
              <w:t>not</w:t>
            </w:r>
            <w:proofErr w:type="gramEnd"/>
            <w:r w:rsidRPr="00482997">
              <w:rPr>
                <w:color w:val="000000" w:themeColor="text1"/>
                <w:sz w:val="18"/>
              </w:rPr>
              <w:t xml:space="preserve"> full committee support). If COBI recommends we remove it from offset benefit calculations, we can do so but will need to recalculate the project numbers. We can add in the information to the project description.</w:t>
            </w:r>
          </w:p>
          <w:p w14:paraId="74588FF1" w14:textId="189EF940" w:rsidR="00482997" w:rsidRPr="00F23F98" w:rsidRDefault="025CC297" w:rsidP="025CC297">
            <w:pPr>
              <w:rPr>
                <w:sz w:val="18"/>
                <w:szCs w:val="18"/>
              </w:rPr>
            </w:pPr>
            <w:r w:rsidRPr="00DD4D49">
              <w:rPr>
                <w:color w:val="000000" w:themeColor="text1"/>
                <w:sz w:val="18"/>
                <w:szCs w:val="18"/>
              </w:rPr>
              <w:t xml:space="preserve">Change needed: add a footnote to the Johnson MAR project that </w:t>
            </w:r>
            <w:proofErr w:type="gramStart"/>
            <w:r w:rsidRPr="00DD4D49">
              <w:rPr>
                <w:color w:val="000000" w:themeColor="text1"/>
                <w:sz w:val="18"/>
                <w:szCs w:val="18"/>
              </w:rPr>
              <w:t>we’ve</w:t>
            </w:r>
            <w:proofErr w:type="gramEnd"/>
            <w:r w:rsidRPr="00DD4D49">
              <w:rPr>
                <w:color w:val="000000" w:themeColor="text1"/>
                <w:sz w:val="18"/>
                <w:szCs w:val="18"/>
              </w:rPr>
              <w:t xml:space="preserve"> discounted it at 90% because the project is not currently legal but may be implementable in the future. Angela added footnote</w:t>
            </w:r>
          </w:p>
        </w:tc>
      </w:tr>
      <w:tr w:rsidR="00F23F98" w:rsidRPr="00F23F98" w14:paraId="65C57EE1" w14:textId="77777777" w:rsidTr="025CC297">
        <w:tc>
          <w:tcPr>
            <w:tcW w:w="4590" w:type="dxa"/>
          </w:tcPr>
          <w:p w14:paraId="14C10D78" w14:textId="318979E7" w:rsidR="00F23F98" w:rsidRPr="00F23F98" w:rsidRDefault="00F23F98">
            <w:pPr>
              <w:rPr>
                <w:sz w:val="18"/>
              </w:rPr>
            </w:pPr>
            <w:r w:rsidRPr="00F23F98">
              <w:rPr>
                <w:color w:val="000000" w:themeColor="text1"/>
                <w:sz w:val="18"/>
              </w:rPr>
              <w:lastRenderedPageBreak/>
              <w:t>Is there a possibility of cleaning up the legend and adding a better caption for what the figure is showing?</w:t>
            </w:r>
          </w:p>
        </w:tc>
        <w:tc>
          <w:tcPr>
            <w:tcW w:w="1710" w:type="dxa"/>
          </w:tcPr>
          <w:p w14:paraId="4D2E6632" w14:textId="06A93491" w:rsidR="00F23F98" w:rsidRPr="00F23F98" w:rsidRDefault="00F23F98">
            <w:pPr>
              <w:rPr>
                <w:sz w:val="18"/>
              </w:rPr>
            </w:pPr>
            <w:r w:rsidRPr="00F23F98">
              <w:rPr>
                <w:sz w:val="18"/>
              </w:rPr>
              <w:t>230</w:t>
            </w:r>
          </w:p>
        </w:tc>
        <w:tc>
          <w:tcPr>
            <w:tcW w:w="1260" w:type="dxa"/>
          </w:tcPr>
          <w:p w14:paraId="08136F73" w14:textId="1AE1519C" w:rsidR="00F23F98" w:rsidRPr="00F23F98" w:rsidRDefault="00F23F98">
            <w:pPr>
              <w:rPr>
                <w:sz w:val="18"/>
              </w:rPr>
            </w:pPr>
            <w:r w:rsidRPr="00F23F98">
              <w:rPr>
                <w:sz w:val="18"/>
              </w:rPr>
              <w:t>COBI</w:t>
            </w:r>
          </w:p>
        </w:tc>
        <w:tc>
          <w:tcPr>
            <w:tcW w:w="2880" w:type="dxa"/>
          </w:tcPr>
          <w:p w14:paraId="6CA735BD" w14:textId="6DA1813B" w:rsidR="00F23F98" w:rsidRPr="00F23F98" w:rsidRDefault="025CC297" w:rsidP="00DD4D49">
            <w:pPr>
              <w:rPr>
                <w:sz w:val="18"/>
                <w:szCs w:val="18"/>
              </w:rPr>
            </w:pPr>
            <w:r w:rsidRPr="00DD4D49">
              <w:rPr>
                <w:sz w:val="18"/>
                <w:szCs w:val="18"/>
              </w:rPr>
              <w:t xml:space="preserve">Flag for HDR. </w:t>
            </w:r>
          </w:p>
        </w:tc>
      </w:tr>
      <w:tr w:rsidR="00F23F98" w:rsidRPr="00F23F98" w14:paraId="064E0581" w14:textId="77777777" w:rsidTr="025CC297">
        <w:tc>
          <w:tcPr>
            <w:tcW w:w="4590" w:type="dxa"/>
          </w:tcPr>
          <w:p w14:paraId="5341B44D" w14:textId="00ADB7C2" w:rsidR="00F23F98" w:rsidRPr="00F23F98" w:rsidRDefault="00F23F98">
            <w:pPr>
              <w:rPr>
                <w:sz w:val="18"/>
              </w:rPr>
            </w:pPr>
            <w:r w:rsidRPr="00F23F98">
              <w:rPr>
                <w:color w:val="000000" w:themeColor="text1"/>
                <w:sz w:val="18"/>
              </w:rPr>
              <w:t xml:space="preserve">In the first </w:t>
            </w:r>
            <w:proofErr w:type="gramStart"/>
            <w:r w:rsidRPr="00F23F98">
              <w:rPr>
                <w:color w:val="000000" w:themeColor="text1"/>
                <w:sz w:val="18"/>
              </w:rPr>
              <w:t>paragraph</w:t>
            </w:r>
            <w:proofErr w:type="gramEnd"/>
            <w:r w:rsidRPr="00F23F98">
              <w:rPr>
                <w:color w:val="000000" w:themeColor="text1"/>
                <w:sz w:val="18"/>
              </w:rPr>
              <w:t xml:space="preserve"> ‘Johnson creek’ should be changed to ‘tributary to </w:t>
            </w:r>
            <w:proofErr w:type="spellStart"/>
            <w:r w:rsidRPr="00F23F98">
              <w:rPr>
                <w:color w:val="000000" w:themeColor="text1"/>
                <w:sz w:val="18"/>
              </w:rPr>
              <w:t>Springbrook</w:t>
            </w:r>
            <w:proofErr w:type="spellEnd"/>
            <w:r w:rsidRPr="00F23F98">
              <w:rPr>
                <w:color w:val="000000" w:themeColor="text1"/>
                <w:sz w:val="18"/>
              </w:rPr>
              <w:t xml:space="preserve"> Creek’.  </w:t>
            </w:r>
          </w:p>
        </w:tc>
        <w:tc>
          <w:tcPr>
            <w:tcW w:w="1710" w:type="dxa"/>
          </w:tcPr>
          <w:p w14:paraId="1AAEC8DD" w14:textId="2EB3EBB0" w:rsidR="00F23F98" w:rsidRPr="00F23F98" w:rsidRDefault="00F23F98">
            <w:pPr>
              <w:rPr>
                <w:sz w:val="18"/>
              </w:rPr>
            </w:pPr>
            <w:r w:rsidRPr="00F23F98">
              <w:rPr>
                <w:sz w:val="18"/>
              </w:rPr>
              <w:t>232</w:t>
            </w:r>
          </w:p>
        </w:tc>
        <w:tc>
          <w:tcPr>
            <w:tcW w:w="1260" w:type="dxa"/>
          </w:tcPr>
          <w:p w14:paraId="3E5C866D" w14:textId="77777777" w:rsidR="00F23F98" w:rsidRPr="00F23F98" w:rsidRDefault="00F23F98">
            <w:pPr>
              <w:rPr>
                <w:sz w:val="18"/>
              </w:rPr>
            </w:pPr>
          </w:p>
        </w:tc>
        <w:tc>
          <w:tcPr>
            <w:tcW w:w="2880" w:type="dxa"/>
          </w:tcPr>
          <w:p w14:paraId="7E9DC9A7" w14:textId="2978EEF3" w:rsidR="00F23F98" w:rsidRPr="00F23F98" w:rsidRDefault="025CC297" w:rsidP="025CC297">
            <w:pPr>
              <w:rPr>
                <w:sz w:val="18"/>
                <w:szCs w:val="18"/>
              </w:rPr>
            </w:pPr>
            <w:r w:rsidRPr="00DD4D49">
              <w:rPr>
                <w:color w:val="000000" w:themeColor="text1"/>
                <w:sz w:val="18"/>
                <w:szCs w:val="18"/>
              </w:rPr>
              <w:t>Response: We can make this change. Angela flagged in plan.</w:t>
            </w:r>
          </w:p>
        </w:tc>
      </w:tr>
      <w:tr w:rsidR="00F23F98" w:rsidRPr="00F23F98" w14:paraId="270698E6" w14:textId="77777777" w:rsidTr="025CC297">
        <w:tc>
          <w:tcPr>
            <w:tcW w:w="4590" w:type="dxa"/>
          </w:tcPr>
          <w:p w14:paraId="3194B967" w14:textId="77777777" w:rsidR="00F23F98" w:rsidRPr="00F23F98" w:rsidRDefault="00F23F98" w:rsidP="00F23F98">
            <w:pPr>
              <w:rPr>
                <w:color w:val="1F497D"/>
                <w:sz w:val="18"/>
              </w:rPr>
            </w:pPr>
            <w:r w:rsidRPr="00F23F98">
              <w:rPr>
                <w:color w:val="1F497D"/>
                <w:sz w:val="18"/>
              </w:rPr>
              <w:t xml:space="preserve">For Table ES-1, somewhere note in the heading or the description that the habitat benefits column includes all projects from the plan (categories </w:t>
            </w:r>
            <w:proofErr w:type="gramStart"/>
            <w:r w:rsidRPr="00F23F98">
              <w:rPr>
                <w:color w:val="1F497D"/>
                <w:sz w:val="18"/>
              </w:rPr>
              <w:t>aren’t</w:t>
            </w:r>
            <w:proofErr w:type="gramEnd"/>
            <w:r w:rsidRPr="00F23F98">
              <w:rPr>
                <w:color w:val="1F497D"/>
                <w:sz w:val="18"/>
              </w:rPr>
              <w:t xml:space="preserve"> yet described). </w:t>
            </w:r>
          </w:p>
          <w:p w14:paraId="31997A96" w14:textId="77777777" w:rsidR="00F23F98" w:rsidRPr="00F23F98" w:rsidRDefault="00F23F98" w:rsidP="00F23F98">
            <w:pPr>
              <w:pStyle w:val="Default"/>
              <w:ind w:left="630"/>
              <w:rPr>
                <w:rFonts w:ascii="Calibri" w:hAnsi="Calibri" w:cs="Calibri"/>
                <w:color w:val="1F497D"/>
                <w:sz w:val="18"/>
              </w:rPr>
            </w:pPr>
          </w:p>
          <w:p w14:paraId="6800A1FC" w14:textId="77777777" w:rsidR="00F23F98" w:rsidRPr="00F23F98" w:rsidRDefault="00F23F98" w:rsidP="00F23F98">
            <w:pPr>
              <w:pStyle w:val="Default"/>
              <w:rPr>
                <w:rFonts w:ascii="Calibri" w:hAnsi="Calibri" w:cs="Calibri"/>
                <w:sz w:val="18"/>
                <w:szCs w:val="23"/>
              </w:rPr>
            </w:pPr>
            <w:r w:rsidRPr="00F23F98">
              <w:rPr>
                <w:rFonts w:ascii="Calibri" w:hAnsi="Calibri" w:cs="Calibri"/>
                <w:color w:val="1F497D"/>
                <w:sz w:val="18"/>
              </w:rPr>
              <w:t xml:space="preserve">In West </w:t>
            </w:r>
            <w:proofErr w:type="gramStart"/>
            <w:r w:rsidRPr="00F23F98">
              <w:rPr>
                <w:rFonts w:ascii="Calibri" w:hAnsi="Calibri" w:cs="Calibri"/>
                <w:color w:val="1F497D"/>
                <w:sz w:val="18"/>
              </w:rPr>
              <w:t>Sound</w:t>
            </w:r>
            <w:proofErr w:type="gramEnd"/>
            <w:r w:rsidRPr="00F23F98">
              <w:rPr>
                <w:rFonts w:ascii="Calibri" w:hAnsi="Calibri" w:cs="Calibri"/>
                <w:color w:val="1F497D"/>
                <w:sz w:val="18"/>
              </w:rPr>
              <w:t xml:space="preserve"> the benefits should be changed to: </w:t>
            </w:r>
            <w:r w:rsidRPr="00F23F98">
              <w:rPr>
                <w:rFonts w:ascii="Calibri" w:hAnsi="Calibri" w:cs="Calibri"/>
                <w:sz w:val="18"/>
                <w:szCs w:val="23"/>
              </w:rPr>
              <w:t>Projects would provide direct streamflow benefit, protection and restoration of habitat for fish critical streams. Projects include over 2800 feet of stream restoration, provides access to an additional 3.5 miles of habitat, riparian restoration, over 100 acres of land protection, and over 40 acres of habitat restoration.</w:t>
            </w:r>
          </w:p>
          <w:p w14:paraId="7B53240C" w14:textId="77777777" w:rsidR="00F23F98" w:rsidRPr="00F23F98" w:rsidRDefault="00F23F98" w:rsidP="00F23F98">
            <w:pPr>
              <w:rPr>
                <w:color w:val="1F497D"/>
                <w:sz w:val="18"/>
              </w:rPr>
            </w:pPr>
            <w:r w:rsidRPr="00F23F98">
              <w:rPr>
                <w:color w:val="1F497D"/>
                <w:sz w:val="18"/>
              </w:rPr>
              <w:t xml:space="preserve">Salmonberry had 90 acres of protection only, it </w:t>
            </w:r>
            <w:proofErr w:type="gramStart"/>
            <w:r w:rsidRPr="00F23F98">
              <w:rPr>
                <w:color w:val="1F497D"/>
                <w:sz w:val="18"/>
              </w:rPr>
              <w:t>was double counted</w:t>
            </w:r>
            <w:proofErr w:type="gramEnd"/>
            <w:r w:rsidRPr="00F23F98">
              <w:rPr>
                <w:color w:val="1F497D"/>
                <w:sz w:val="18"/>
              </w:rPr>
              <w:t xml:space="preserve"> as restoration and you were missing the 3.5 miles of access improvements.</w:t>
            </w:r>
          </w:p>
          <w:p w14:paraId="5E13103B" w14:textId="77777777" w:rsidR="00F23F98" w:rsidRPr="00F23F98" w:rsidRDefault="00F23F98" w:rsidP="00F23F98">
            <w:pPr>
              <w:rPr>
                <w:sz w:val="18"/>
              </w:rPr>
            </w:pPr>
          </w:p>
        </w:tc>
        <w:tc>
          <w:tcPr>
            <w:tcW w:w="1710" w:type="dxa"/>
          </w:tcPr>
          <w:p w14:paraId="4DC1E4B4" w14:textId="77777777" w:rsidR="00F23F98" w:rsidRPr="00F23F98" w:rsidRDefault="00F23F98" w:rsidP="00F23F98">
            <w:pPr>
              <w:pStyle w:val="ListParagraph"/>
              <w:ind w:left="630"/>
              <w:rPr>
                <w:color w:val="1F497D"/>
                <w:sz w:val="18"/>
              </w:rPr>
            </w:pPr>
            <w:r w:rsidRPr="00F23F98">
              <w:rPr>
                <w:color w:val="1F497D"/>
                <w:sz w:val="18"/>
              </w:rPr>
              <w:t>Executive Summary:</w:t>
            </w:r>
          </w:p>
          <w:p w14:paraId="1C628FA9" w14:textId="77777777" w:rsidR="00F23F98" w:rsidRPr="00F23F98" w:rsidRDefault="00F23F98">
            <w:pPr>
              <w:rPr>
                <w:sz w:val="18"/>
              </w:rPr>
            </w:pPr>
          </w:p>
        </w:tc>
        <w:tc>
          <w:tcPr>
            <w:tcW w:w="1260" w:type="dxa"/>
          </w:tcPr>
          <w:p w14:paraId="0C2E1346" w14:textId="4C33F51D" w:rsidR="00F23F98" w:rsidRPr="00F23F98" w:rsidRDefault="00F23F98">
            <w:pPr>
              <w:rPr>
                <w:sz w:val="18"/>
              </w:rPr>
            </w:pPr>
            <w:r w:rsidRPr="00F23F98">
              <w:rPr>
                <w:sz w:val="18"/>
              </w:rPr>
              <w:t>ECY</w:t>
            </w:r>
          </w:p>
        </w:tc>
        <w:tc>
          <w:tcPr>
            <w:tcW w:w="2880" w:type="dxa"/>
          </w:tcPr>
          <w:p w14:paraId="5EA625D7" w14:textId="417B352B" w:rsidR="00F23F98" w:rsidRPr="003674E5" w:rsidRDefault="00DD4D49" w:rsidP="025CC297">
            <w:pPr>
              <w:rPr>
                <w:sz w:val="18"/>
                <w:szCs w:val="18"/>
              </w:rPr>
            </w:pPr>
            <w:r>
              <w:rPr>
                <w:sz w:val="18"/>
                <w:szCs w:val="18"/>
              </w:rPr>
              <w:t>Completed.</w:t>
            </w:r>
          </w:p>
        </w:tc>
      </w:tr>
      <w:tr w:rsidR="00F23F98" w:rsidRPr="00F23F98" w14:paraId="1D037F2C" w14:textId="77777777" w:rsidTr="025CC297">
        <w:tc>
          <w:tcPr>
            <w:tcW w:w="4590" w:type="dxa"/>
          </w:tcPr>
          <w:p w14:paraId="622D10CD" w14:textId="77777777" w:rsidR="00F23F98" w:rsidRPr="00F23F98" w:rsidRDefault="00F23F98" w:rsidP="00F23F98">
            <w:pPr>
              <w:rPr>
                <w:color w:val="000000"/>
                <w:sz w:val="18"/>
                <w:szCs w:val="20"/>
              </w:rPr>
            </w:pPr>
            <w:r w:rsidRPr="00F23F98">
              <w:rPr>
                <w:color w:val="000000"/>
                <w:sz w:val="18"/>
                <w:szCs w:val="20"/>
              </w:rPr>
              <w:t xml:space="preserve">Under the community </w:t>
            </w:r>
            <w:proofErr w:type="gramStart"/>
            <w:r w:rsidRPr="00F23F98">
              <w:rPr>
                <w:color w:val="000000"/>
                <w:sz w:val="18"/>
                <w:szCs w:val="20"/>
              </w:rPr>
              <w:t>forest</w:t>
            </w:r>
            <w:proofErr w:type="gramEnd"/>
            <w:r w:rsidRPr="00F23F98">
              <w:rPr>
                <w:color w:val="000000"/>
                <w:sz w:val="18"/>
                <w:szCs w:val="20"/>
              </w:rPr>
              <w:t xml:space="preserve"> projects (in the table) change “</w:t>
            </w:r>
            <w:proofErr w:type="spellStart"/>
            <w:r w:rsidRPr="00F23F98">
              <w:rPr>
                <w:color w:val="000000"/>
                <w:sz w:val="18"/>
                <w:szCs w:val="20"/>
              </w:rPr>
              <w:t>Tahuya</w:t>
            </w:r>
            <w:proofErr w:type="spellEnd"/>
            <w:r w:rsidRPr="00F23F98">
              <w:rPr>
                <w:color w:val="000000"/>
                <w:sz w:val="18"/>
                <w:szCs w:val="20"/>
              </w:rPr>
              <w:t xml:space="preserve"> Headwaters” to “</w:t>
            </w:r>
            <w:proofErr w:type="spellStart"/>
            <w:r w:rsidRPr="00F23F98">
              <w:rPr>
                <w:color w:val="000000"/>
                <w:sz w:val="18"/>
                <w:szCs w:val="20"/>
              </w:rPr>
              <w:t>Tahuya</w:t>
            </w:r>
            <w:proofErr w:type="spellEnd"/>
            <w:r w:rsidRPr="00F23F98">
              <w:rPr>
                <w:color w:val="000000"/>
                <w:sz w:val="18"/>
                <w:szCs w:val="20"/>
              </w:rPr>
              <w:t xml:space="preserve"> River” – there are opportunities outside of the headwaters that GPC is pursuing.</w:t>
            </w:r>
          </w:p>
          <w:p w14:paraId="1DF91E1B" w14:textId="77777777" w:rsidR="00F23F98" w:rsidRPr="00F23F98" w:rsidRDefault="00F23F98">
            <w:pPr>
              <w:rPr>
                <w:sz w:val="18"/>
              </w:rPr>
            </w:pPr>
          </w:p>
        </w:tc>
        <w:tc>
          <w:tcPr>
            <w:tcW w:w="1710" w:type="dxa"/>
          </w:tcPr>
          <w:p w14:paraId="7904B77D" w14:textId="5E3A3AD7" w:rsidR="00F23F98" w:rsidRPr="00F23F98" w:rsidRDefault="025CC297" w:rsidP="025CC297">
            <w:pPr>
              <w:rPr>
                <w:sz w:val="18"/>
                <w:szCs w:val="18"/>
              </w:rPr>
            </w:pPr>
            <w:r w:rsidRPr="025CC297">
              <w:rPr>
                <w:sz w:val="18"/>
                <w:szCs w:val="18"/>
              </w:rPr>
              <w:t>Chapter 5; page 60</w:t>
            </w:r>
          </w:p>
        </w:tc>
        <w:tc>
          <w:tcPr>
            <w:tcW w:w="1260" w:type="dxa"/>
          </w:tcPr>
          <w:p w14:paraId="450033C4" w14:textId="5FB05E58" w:rsidR="00F23F98" w:rsidRPr="00F23F98" w:rsidRDefault="00F23F98">
            <w:pPr>
              <w:rPr>
                <w:sz w:val="18"/>
              </w:rPr>
            </w:pPr>
            <w:r w:rsidRPr="00F23F98">
              <w:rPr>
                <w:sz w:val="18"/>
              </w:rPr>
              <w:t>Project workgroup</w:t>
            </w:r>
          </w:p>
        </w:tc>
        <w:tc>
          <w:tcPr>
            <w:tcW w:w="2880" w:type="dxa"/>
          </w:tcPr>
          <w:p w14:paraId="33CEBBB3" w14:textId="48483B0C" w:rsidR="00F23F98" w:rsidRPr="003674E5" w:rsidRDefault="025CC297" w:rsidP="025CC297">
            <w:pPr>
              <w:rPr>
                <w:sz w:val="18"/>
                <w:szCs w:val="18"/>
                <w:highlight w:val="yellow"/>
              </w:rPr>
            </w:pPr>
            <w:r w:rsidRPr="00DD4D49">
              <w:rPr>
                <w:sz w:val="18"/>
                <w:szCs w:val="18"/>
              </w:rPr>
              <w:t>Change needed. Angela made change in track changes.</w:t>
            </w:r>
          </w:p>
        </w:tc>
      </w:tr>
      <w:tr w:rsidR="00F23F98" w:rsidRPr="00F23F98" w14:paraId="026A59AD" w14:textId="77777777" w:rsidTr="025CC297">
        <w:tc>
          <w:tcPr>
            <w:tcW w:w="4590" w:type="dxa"/>
          </w:tcPr>
          <w:p w14:paraId="4AC28455" w14:textId="4679AF64" w:rsidR="00F23F98" w:rsidRPr="00F23F98" w:rsidRDefault="00F23F98" w:rsidP="00DD4D49">
            <w:pPr>
              <w:rPr>
                <w:sz w:val="18"/>
              </w:rPr>
            </w:pPr>
            <w:r w:rsidRPr="00F23F98">
              <w:rPr>
                <w:color w:val="1F497D"/>
                <w:sz w:val="18"/>
              </w:rPr>
              <w:t xml:space="preserve">add the </w:t>
            </w:r>
            <w:r w:rsidR="00DD4D49">
              <w:rPr>
                <w:color w:val="1F497D"/>
                <w:sz w:val="18"/>
              </w:rPr>
              <w:t>description</w:t>
            </w:r>
            <w:r w:rsidRPr="00F23F98">
              <w:rPr>
                <w:color w:val="1F497D"/>
                <w:sz w:val="18"/>
              </w:rPr>
              <w:t xml:space="preserve"> back to the beginning of the Rudy Creek </w:t>
            </w:r>
          </w:p>
        </w:tc>
        <w:tc>
          <w:tcPr>
            <w:tcW w:w="1710" w:type="dxa"/>
          </w:tcPr>
          <w:p w14:paraId="235B8207" w14:textId="640093EF" w:rsidR="00F23F98" w:rsidRPr="00F23F98" w:rsidRDefault="00F23F98">
            <w:pPr>
              <w:rPr>
                <w:sz w:val="18"/>
              </w:rPr>
            </w:pPr>
            <w:r w:rsidRPr="00F23F98">
              <w:rPr>
                <w:sz w:val="18"/>
              </w:rPr>
              <w:t>Appendix H</w:t>
            </w:r>
          </w:p>
        </w:tc>
        <w:tc>
          <w:tcPr>
            <w:tcW w:w="1260" w:type="dxa"/>
          </w:tcPr>
          <w:p w14:paraId="08981585" w14:textId="2C4B339C" w:rsidR="00F23F98" w:rsidRPr="00F23F98" w:rsidRDefault="00F23F98">
            <w:pPr>
              <w:rPr>
                <w:sz w:val="18"/>
              </w:rPr>
            </w:pPr>
            <w:r w:rsidRPr="00F23F98">
              <w:rPr>
                <w:sz w:val="18"/>
              </w:rPr>
              <w:t>Ecology</w:t>
            </w:r>
          </w:p>
        </w:tc>
        <w:tc>
          <w:tcPr>
            <w:tcW w:w="2880" w:type="dxa"/>
          </w:tcPr>
          <w:p w14:paraId="4D7E5406" w14:textId="454A705C" w:rsidR="00F23F98" w:rsidRPr="003674E5" w:rsidRDefault="00DD4D49" w:rsidP="00DD4D49">
            <w:pPr>
              <w:rPr>
                <w:sz w:val="18"/>
                <w:szCs w:val="18"/>
                <w:highlight w:val="yellow"/>
              </w:rPr>
            </w:pPr>
            <w:r w:rsidRPr="00DD4D49">
              <w:rPr>
                <w:sz w:val="18"/>
                <w:szCs w:val="18"/>
              </w:rPr>
              <w:t xml:space="preserve">Completed </w:t>
            </w:r>
          </w:p>
        </w:tc>
      </w:tr>
      <w:tr w:rsidR="00F23F98" w:rsidRPr="00F23F98" w14:paraId="313703C5" w14:textId="77777777" w:rsidTr="025CC297">
        <w:tc>
          <w:tcPr>
            <w:tcW w:w="4590" w:type="dxa"/>
          </w:tcPr>
          <w:p w14:paraId="122A89DA" w14:textId="3E417911" w:rsidR="00482997" w:rsidRPr="00482997" w:rsidRDefault="00482997" w:rsidP="00482997">
            <w:pPr>
              <w:rPr>
                <w:sz w:val="18"/>
              </w:rPr>
            </w:pPr>
            <w:r>
              <w:rPr>
                <w:sz w:val="18"/>
              </w:rPr>
              <w:t>Revise the following definitions</w:t>
            </w:r>
          </w:p>
          <w:p w14:paraId="74216E29" w14:textId="08A73861" w:rsidR="00F23F98" w:rsidRPr="00F23F98" w:rsidRDefault="00F23F98" w:rsidP="00F23F98">
            <w:pPr>
              <w:pStyle w:val="ListParagraph"/>
              <w:numPr>
                <w:ilvl w:val="0"/>
                <w:numId w:val="18"/>
              </w:numPr>
              <w:rPr>
                <w:sz w:val="18"/>
              </w:rPr>
            </w:pPr>
            <w:r w:rsidRPr="00F23F98">
              <w:rPr>
                <w:b/>
                <w:bCs/>
                <w:sz w:val="18"/>
              </w:rPr>
              <w:t>Stream Flow</w:t>
            </w:r>
            <w:r w:rsidRPr="00F23F98">
              <w:rPr>
                <w:sz w:val="18"/>
              </w:rPr>
              <w:t xml:space="preserve">: a specific flow level measured at a specific location in a given stream, usually described as a rate, such as </w:t>
            </w:r>
            <w:proofErr w:type="spellStart"/>
            <w:r w:rsidRPr="00F23F98">
              <w:rPr>
                <w:sz w:val="18"/>
              </w:rPr>
              <w:t>cfs</w:t>
            </w:r>
            <w:proofErr w:type="spellEnd"/>
            <w:r w:rsidRPr="00F23F98">
              <w:rPr>
                <w:sz w:val="18"/>
              </w:rPr>
              <w:t>.  Stream flow is the actual amount of real water at a specific place and at a given moment.  Stream flows can change from moment to moment.</w:t>
            </w:r>
          </w:p>
          <w:p w14:paraId="418C13C1" w14:textId="77777777" w:rsidR="00F23F98" w:rsidRPr="00F23F98" w:rsidRDefault="00F23F98" w:rsidP="00F23F98">
            <w:pPr>
              <w:pStyle w:val="ListParagraph"/>
              <w:ind w:left="630"/>
              <w:rPr>
                <w:sz w:val="18"/>
              </w:rPr>
            </w:pPr>
          </w:p>
          <w:p w14:paraId="35DEAC81" w14:textId="77777777" w:rsidR="00F23F98" w:rsidRPr="00F23F98" w:rsidRDefault="00F23F98" w:rsidP="00F23F98">
            <w:pPr>
              <w:pStyle w:val="ListParagraph"/>
              <w:numPr>
                <w:ilvl w:val="0"/>
                <w:numId w:val="18"/>
              </w:numPr>
              <w:rPr>
                <w:sz w:val="18"/>
              </w:rPr>
            </w:pPr>
            <w:r w:rsidRPr="00F23F98">
              <w:rPr>
                <w:b/>
                <w:bCs/>
                <w:sz w:val="18"/>
              </w:rPr>
              <w:t>Instream Flow</w:t>
            </w:r>
            <w:r w:rsidRPr="00F23F98">
              <w:rPr>
                <w:sz w:val="18"/>
              </w:rPr>
              <w:t xml:space="preserve">: a designated flow (also in </w:t>
            </w:r>
            <w:proofErr w:type="spellStart"/>
            <w:r w:rsidRPr="00F23F98">
              <w:rPr>
                <w:sz w:val="18"/>
              </w:rPr>
              <w:t>cfs</w:t>
            </w:r>
            <w:proofErr w:type="spellEnd"/>
            <w:r w:rsidRPr="00F23F98">
              <w:rPr>
                <w:sz w:val="18"/>
              </w:rPr>
              <w:t xml:space="preserve">) that is set by rule as the amount </w:t>
            </w:r>
            <w:r w:rsidRPr="00F23F98">
              <w:rPr>
                <w:sz w:val="18"/>
              </w:rPr>
              <w:lastRenderedPageBreak/>
              <w:t xml:space="preserve">of water needed to protect beneficial uses and used for determining whether there is water available for appropriation.  Flow levels set as Instream Flows do not reflect the actual amount of water flowing at a given time.  They are </w:t>
            </w:r>
            <w:proofErr w:type="gramStart"/>
            <w:r w:rsidRPr="00F23F98">
              <w:rPr>
                <w:sz w:val="18"/>
              </w:rPr>
              <w:t>designated,</w:t>
            </w:r>
            <w:proofErr w:type="gramEnd"/>
            <w:r w:rsidRPr="00F23F98">
              <w:rPr>
                <w:sz w:val="18"/>
              </w:rPr>
              <w:t xml:space="preserve"> or administrative numbers (flow levels) that are set for periods of time (bi-weekly to several months) throughout the year.  The instream flows vary by season and account for different instream resource needs (such as fish spawning, rearing and migration).  When (actual) stream flow is lower than the Instream </w:t>
            </w:r>
            <w:proofErr w:type="gramStart"/>
            <w:r w:rsidRPr="00F23F98">
              <w:rPr>
                <w:sz w:val="18"/>
              </w:rPr>
              <w:t>Flow</w:t>
            </w:r>
            <w:proofErr w:type="gramEnd"/>
            <w:r w:rsidRPr="00F23F98">
              <w:rPr>
                <w:sz w:val="18"/>
              </w:rPr>
              <w:t xml:space="preserve">, there is not water available for appropriation (Instream Flows are not being met) and water users whose water rights are junior to the Instream Flows must discontinue water use under that right. </w:t>
            </w:r>
          </w:p>
          <w:p w14:paraId="3A8C9F17" w14:textId="77777777" w:rsidR="00F23F98" w:rsidRPr="00F23F98" w:rsidRDefault="00F23F98" w:rsidP="00F23F98">
            <w:pPr>
              <w:pStyle w:val="ListParagraph"/>
              <w:ind w:left="630"/>
              <w:rPr>
                <w:sz w:val="18"/>
              </w:rPr>
            </w:pPr>
          </w:p>
          <w:p w14:paraId="3FC0011C" w14:textId="77777777" w:rsidR="00F23F98" w:rsidRPr="00F23F98" w:rsidRDefault="00F23F98" w:rsidP="00F23F98">
            <w:pPr>
              <w:pStyle w:val="ListParagraph"/>
              <w:numPr>
                <w:ilvl w:val="0"/>
                <w:numId w:val="18"/>
              </w:numPr>
              <w:rPr>
                <w:sz w:val="18"/>
              </w:rPr>
            </w:pPr>
            <w:r w:rsidRPr="00F23F98">
              <w:rPr>
                <w:b/>
                <w:bCs/>
                <w:sz w:val="18"/>
              </w:rPr>
              <w:t>Instream Flow Rule</w:t>
            </w:r>
            <w:r w:rsidRPr="00F23F98">
              <w:rPr>
                <w:sz w:val="18"/>
              </w:rPr>
              <w:t>: An administrative rule that establishes Instream Flows.  See Instream Flows.</w:t>
            </w:r>
          </w:p>
          <w:p w14:paraId="605E2F51" w14:textId="77777777" w:rsidR="00F23F98" w:rsidRPr="00F23F98" w:rsidRDefault="00F23F98">
            <w:pPr>
              <w:rPr>
                <w:sz w:val="18"/>
              </w:rPr>
            </w:pPr>
          </w:p>
        </w:tc>
        <w:tc>
          <w:tcPr>
            <w:tcW w:w="1710" w:type="dxa"/>
          </w:tcPr>
          <w:p w14:paraId="184A12BD" w14:textId="43574596" w:rsidR="00F23F98" w:rsidRPr="00F23F98" w:rsidRDefault="00F23F98">
            <w:pPr>
              <w:rPr>
                <w:sz w:val="18"/>
              </w:rPr>
            </w:pPr>
            <w:r w:rsidRPr="00F23F98">
              <w:rPr>
                <w:sz w:val="18"/>
              </w:rPr>
              <w:lastRenderedPageBreak/>
              <w:t>Glossary</w:t>
            </w:r>
          </w:p>
        </w:tc>
        <w:tc>
          <w:tcPr>
            <w:tcW w:w="1260" w:type="dxa"/>
          </w:tcPr>
          <w:p w14:paraId="6CBDAE1B" w14:textId="0B04325B" w:rsidR="00F23F98" w:rsidRPr="00F23F98" w:rsidRDefault="00F23F98">
            <w:pPr>
              <w:rPr>
                <w:sz w:val="18"/>
              </w:rPr>
            </w:pPr>
            <w:r w:rsidRPr="00F23F98">
              <w:rPr>
                <w:sz w:val="18"/>
              </w:rPr>
              <w:t>Ecology</w:t>
            </w:r>
          </w:p>
        </w:tc>
        <w:tc>
          <w:tcPr>
            <w:tcW w:w="2880" w:type="dxa"/>
          </w:tcPr>
          <w:p w14:paraId="43CD2CA8" w14:textId="61953B3A" w:rsidR="00F23F98" w:rsidRPr="003674E5" w:rsidRDefault="00DD4D49" w:rsidP="025CC297">
            <w:pPr>
              <w:rPr>
                <w:sz w:val="18"/>
                <w:szCs w:val="18"/>
                <w:highlight w:val="yellow"/>
              </w:rPr>
            </w:pPr>
            <w:r w:rsidRPr="00DD4D49">
              <w:rPr>
                <w:sz w:val="18"/>
                <w:szCs w:val="18"/>
              </w:rPr>
              <w:t>Completed</w:t>
            </w:r>
          </w:p>
        </w:tc>
      </w:tr>
      <w:tr w:rsidR="00F23F98" w:rsidRPr="00F23F98" w14:paraId="11447011" w14:textId="77777777" w:rsidTr="025CC297">
        <w:tc>
          <w:tcPr>
            <w:tcW w:w="4590" w:type="dxa"/>
          </w:tcPr>
          <w:p w14:paraId="76E73140" w14:textId="6515CFEE" w:rsidR="00F23F98" w:rsidRPr="00F23F98" w:rsidRDefault="00F23F98" w:rsidP="00F23F98">
            <w:pPr>
              <w:rPr>
                <w:sz w:val="18"/>
              </w:rPr>
            </w:pPr>
            <w:r w:rsidRPr="00F23F98">
              <w:rPr>
                <w:sz w:val="18"/>
                <w:u w:val="single"/>
              </w:rPr>
              <w:t xml:space="preserve">Changes to Pierce Co Assurance of Implementation: For consistency with the narrative portion I’ll provide below, and with the bullet points that are included in the WRIA 12 plan, </w:t>
            </w:r>
            <w:r w:rsidRPr="00F23F98">
              <w:rPr>
                <w:b/>
                <w:bCs/>
                <w:sz w:val="18"/>
                <w:u w:val="single"/>
              </w:rPr>
              <w:t>we’ll need it to say:*</w:t>
            </w:r>
          </w:p>
          <w:p w14:paraId="1E594E20" w14:textId="77777777" w:rsidR="00F23F98" w:rsidRPr="00F23F98" w:rsidRDefault="00F23F98" w:rsidP="00F23F98">
            <w:pPr>
              <w:numPr>
                <w:ilvl w:val="0"/>
                <w:numId w:val="17"/>
              </w:numPr>
              <w:rPr>
                <w:rFonts w:eastAsia="Times New Roman"/>
                <w:sz w:val="18"/>
              </w:rPr>
            </w:pPr>
            <w:r w:rsidRPr="00F23F98">
              <w:rPr>
                <w:rFonts w:eastAsia="Times New Roman"/>
                <w:sz w:val="18"/>
              </w:rPr>
              <w:t xml:space="preserve">Approve this watershed plan by resolution, formalizing our support of the plan contents. </w:t>
            </w:r>
          </w:p>
          <w:p w14:paraId="6316EE6D" w14:textId="77777777" w:rsidR="00F23F98" w:rsidRPr="00F23F98" w:rsidRDefault="025CC297" w:rsidP="025CC297">
            <w:pPr>
              <w:numPr>
                <w:ilvl w:val="0"/>
                <w:numId w:val="17"/>
              </w:numPr>
              <w:rPr>
                <w:rFonts w:eastAsia="Times New Roman"/>
                <w:sz w:val="18"/>
                <w:szCs w:val="18"/>
              </w:rPr>
            </w:pPr>
            <w:r w:rsidRPr="025CC297">
              <w:rPr>
                <w:rFonts w:eastAsia="Times New Roman"/>
                <w:sz w:val="18"/>
                <w:szCs w:val="18"/>
                <w:highlight w:val="cyan"/>
              </w:rPr>
              <w:t xml:space="preserve">Use the plan as a source document for new projects, to </w:t>
            </w:r>
            <w:proofErr w:type="gramStart"/>
            <w:r w:rsidRPr="025CC297">
              <w:rPr>
                <w:rFonts w:eastAsia="Times New Roman"/>
                <w:sz w:val="18"/>
                <w:szCs w:val="18"/>
                <w:highlight w:val="cyan"/>
              </w:rPr>
              <w:t>be considered</w:t>
            </w:r>
            <w:proofErr w:type="gramEnd"/>
            <w:r w:rsidRPr="025CC297">
              <w:rPr>
                <w:rFonts w:eastAsia="Times New Roman"/>
                <w:sz w:val="18"/>
                <w:szCs w:val="18"/>
                <w:highlight w:val="cyan"/>
              </w:rPr>
              <w:t xml:space="preserve"> bi-annually for inclusion in the Surface Water Improvement Plan (SWIP).</w:t>
            </w:r>
            <w:r w:rsidRPr="025CC297">
              <w:rPr>
                <w:rFonts w:eastAsia="Times New Roman"/>
                <w:sz w:val="18"/>
                <w:szCs w:val="18"/>
              </w:rPr>
              <w:t xml:space="preserve"> </w:t>
            </w:r>
          </w:p>
          <w:p w14:paraId="01C5AC69" w14:textId="77777777" w:rsidR="00F23F98" w:rsidRPr="00F23F98" w:rsidRDefault="00F23F98" w:rsidP="00F23F98">
            <w:pPr>
              <w:numPr>
                <w:ilvl w:val="0"/>
                <w:numId w:val="17"/>
              </w:numPr>
              <w:rPr>
                <w:rFonts w:eastAsia="Times New Roman"/>
                <w:sz w:val="18"/>
              </w:rPr>
            </w:pPr>
            <w:r w:rsidRPr="00F23F98">
              <w:rPr>
                <w:rFonts w:eastAsia="Times New Roman"/>
                <w:sz w:val="18"/>
              </w:rPr>
              <w:t xml:space="preserve">Support and participate in implementation activities as staff capacity allows, including: </w:t>
            </w:r>
          </w:p>
          <w:p w14:paraId="1773DF56" w14:textId="77777777" w:rsidR="00F23F98" w:rsidRPr="00F23F98" w:rsidRDefault="00F23F98" w:rsidP="00F23F98">
            <w:pPr>
              <w:numPr>
                <w:ilvl w:val="1"/>
                <w:numId w:val="17"/>
              </w:numPr>
              <w:rPr>
                <w:rFonts w:eastAsia="Times New Roman"/>
                <w:sz w:val="18"/>
              </w:rPr>
            </w:pPr>
            <w:r w:rsidRPr="00F23F98">
              <w:rPr>
                <w:rFonts w:eastAsia="Times New Roman"/>
                <w:sz w:val="18"/>
              </w:rPr>
              <w:t xml:space="preserve">Participating in annual implementation group meetings. </w:t>
            </w:r>
          </w:p>
          <w:p w14:paraId="534B99A5" w14:textId="77777777" w:rsidR="00F23F98" w:rsidRPr="00F23F98" w:rsidRDefault="00F23F98" w:rsidP="00F23F98">
            <w:pPr>
              <w:numPr>
                <w:ilvl w:val="1"/>
                <w:numId w:val="17"/>
              </w:numPr>
              <w:rPr>
                <w:rFonts w:eastAsia="Times New Roman"/>
                <w:sz w:val="18"/>
              </w:rPr>
            </w:pPr>
            <w:r w:rsidRPr="00F23F98">
              <w:rPr>
                <w:rFonts w:eastAsia="Times New Roman"/>
                <w:sz w:val="18"/>
              </w:rPr>
              <w:t xml:space="preserve">Coordination between meetings, including: </w:t>
            </w:r>
          </w:p>
          <w:p w14:paraId="165230A7" w14:textId="77777777" w:rsidR="00F23F98" w:rsidRPr="00F23F98" w:rsidRDefault="00F23F98" w:rsidP="00F23F98">
            <w:pPr>
              <w:numPr>
                <w:ilvl w:val="2"/>
                <w:numId w:val="17"/>
              </w:numPr>
              <w:rPr>
                <w:rFonts w:eastAsia="Times New Roman"/>
                <w:sz w:val="18"/>
              </w:rPr>
            </w:pPr>
            <w:r w:rsidRPr="00F23F98">
              <w:rPr>
                <w:rFonts w:eastAsia="Times New Roman"/>
                <w:sz w:val="18"/>
              </w:rPr>
              <w:t xml:space="preserve">Supporting project development and seeking project opportunities. </w:t>
            </w:r>
          </w:p>
          <w:p w14:paraId="6A2124BF" w14:textId="77777777" w:rsidR="00F23F98" w:rsidRPr="00F23F98" w:rsidRDefault="00F23F98" w:rsidP="00F23F98">
            <w:pPr>
              <w:numPr>
                <w:ilvl w:val="2"/>
                <w:numId w:val="17"/>
              </w:numPr>
              <w:rPr>
                <w:rFonts w:eastAsia="Times New Roman"/>
                <w:sz w:val="18"/>
              </w:rPr>
            </w:pPr>
            <w:r w:rsidRPr="00F23F98">
              <w:rPr>
                <w:rFonts w:eastAsia="Times New Roman"/>
                <w:sz w:val="18"/>
              </w:rPr>
              <w:t xml:space="preserve">Seeking and supporting funding opportunities to achieve implementation. </w:t>
            </w:r>
          </w:p>
          <w:p w14:paraId="148BA86D" w14:textId="77777777" w:rsidR="00F23F98" w:rsidRPr="00F23F98" w:rsidRDefault="00F23F98" w:rsidP="00F23F98">
            <w:pPr>
              <w:numPr>
                <w:ilvl w:val="2"/>
                <w:numId w:val="17"/>
              </w:numPr>
              <w:rPr>
                <w:rFonts w:eastAsia="Times New Roman"/>
                <w:sz w:val="18"/>
              </w:rPr>
            </w:pPr>
            <w:r w:rsidRPr="00F23F98">
              <w:rPr>
                <w:rFonts w:eastAsia="Times New Roman"/>
                <w:sz w:val="18"/>
              </w:rPr>
              <w:t>Tracking implementation and identifying areas for improvement.</w:t>
            </w:r>
          </w:p>
          <w:p w14:paraId="48F10A10" w14:textId="77777777" w:rsidR="00F23F98" w:rsidRPr="00F23F98" w:rsidRDefault="00F23F98" w:rsidP="00F23F98">
            <w:pPr>
              <w:pStyle w:val="ListParagraph"/>
              <w:ind w:left="1440"/>
              <w:rPr>
                <w:b/>
                <w:bCs/>
                <w:sz w:val="18"/>
              </w:rPr>
            </w:pPr>
          </w:p>
        </w:tc>
        <w:tc>
          <w:tcPr>
            <w:tcW w:w="1710" w:type="dxa"/>
          </w:tcPr>
          <w:p w14:paraId="621BD177" w14:textId="735BCCAE" w:rsidR="00F23F98" w:rsidRPr="00F23F98" w:rsidRDefault="00F23F98">
            <w:pPr>
              <w:rPr>
                <w:sz w:val="18"/>
              </w:rPr>
            </w:pPr>
            <w:r w:rsidRPr="00F23F98">
              <w:rPr>
                <w:sz w:val="18"/>
              </w:rPr>
              <w:t>Chapter 6</w:t>
            </w:r>
          </w:p>
        </w:tc>
        <w:tc>
          <w:tcPr>
            <w:tcW w:w="1260" w:type="dxa"/>
          </w:tcPr>
          <w:p w14:paraId="603FB146" w14:textId="365EACF6" w:rsidR="00F23F98" w:rsidRPr="00F23F98" w:rsidRDefault="00F23F98">
            <w:pPr>
              <w:rPr>
                <w:sz w:val="18"/>
              </w:rPr>
            </w:pPr>
            <w:r w:rsidRPr="00F23F98">
              <w:rPr>
                <w:sz w:val="18"/>
              </w:rPr>
              <w:t>Pierce Co</w:t>
            </w:r>
          </w:p>
        </w:tc>
        <w:tc>
          <w:tcPr>
            <w:tcW w:w="2880" w:type="dxa"/>
          </w:tcPr>
          <w:p w14:paraId="0680AB9E" w14:textId="4576669C" w:rsidR="00F23F98" w:rsidRPr="00F23F98" w:rsidRDefault="00DD4D49" w:rsidP="025CC297">
            <w:pPr>
              <w:rPr>
                <w:sz w:val="18"/>
                <w:szCs w:val="18"/>
              </w:rPr>
            </w:pPr>
            <w:r>
              <w:rPr>
                <w:sz w:val="18"/>
                <w:szCs w:val="18"/>
              </w:rPr>
              <w:t>Completed</w:t>
            </w:r>
          </w:p>
        </w:tc>
      </w:tr>
    </w:tbl>
    <w:p w14:paraId="0317D5A1" w14:textId="77777777" w:rsidR="006E1869" w:rsidRPr="00B81718" w:rsidRDefault="006E1869" w:rsidP="006E1869">
      <w:pPr>
        <w:pStyle w:val="ListParagraph"/>
        <w:rPr>
          <w:color w:val="000000" w:themeColor="text1"/>
        </w:rPr>
      </w:pPr>
    </w:p>
    <w:p w14:paraId="07F8A484" w14:textId="77777777" w:rsidR="00433DB5" w:rsidRPr="006E1869" w:rsidRDefault="00433DB5" w:rsidP="00433DB5">
      <w:pPr>
        <w:pStyle w:val="ListParagraph"/>
        <w:ind w:left="1440"/>
        <w:rPr>
          <w:color w:val="000000"/>
          <w:sz w:val="20"/>
          <w:szCs w:val="20"/>
        </w:rPr>
      </w:pPr>
    </w:p>
    <w:p w14:paraId="70F62826" w14:textId="10D6CC0F" w:rsidR="002A1B77" w:rsidRDefault="00F23F98" w:rsidP="00646178">
      <w:pPr>
        <w:rPr>
          <w:u w:val="single"/>
        </w:rPr>
      </w:pPr>
      <w:r>
        <w:rPr>
          <w:u w:val="single"/>
        </w:rPr>
        <w:t>*</w:t>
      </w:r>
      <w:r w:rsidR="002A1B77">
        <w:rPr>
          <w:u w:val="single"/>
        </w:rPr>
        <w:t>From Pierce Co:</w:t>
      </w:r>
    </w:p>
    <w:p w14:paraId="55B5016E" w14:textId="31D1DC08" w:rsidR="00317755" w:rsidRDefault="002A1B77">
      <w:r>
        <w:t>Context related to the above changes:</w:t>
      </w:r>
    </w:p>
    <w:p w14:paraId="695E5195" w14:textId="77777777" w:rsidR="002A1B77" w:rsidRDefault="002A1B77" w:rsidP="002A1B77">
      <w:r>
        <w:lastRenderedPageBreak/>
        <w:t xml:space="preserve">For context, this is the additional language </w:t>
      </w:r>
      <w:proofErr w:type="gramStart"/>
      <w:r>
        <w:t>that’s</w:t>
      </w:r>
      <w:proofErr w:type="gramEnd"/>
      <w:r>
        <w:t xml:space="preserve"> in the WRIA 10/12 plans (Section 2.2.2). It provides a bit more detail for how our project planning process works. </w:t>
      </w:r>
      <w:proofErr w:type="gramStart"/>
      <w:r>
        <w:t>I’m</w:t>
      </w:r>
      <w:proofErr w:type="gramEnd"/>
      <w:r>
        <w:t xml:space="preserve"> not sure we need to incorporate it into the document, since Section 2.2.2 currently is generic enough to apply to all 3 counties. If you feel like we need to work it in, </w:t>
      </w:r>
      <w:proofErr w:type="gramStart"/>
      <w:r>
        <w:t>I’m</w:t>
      </w:r>
      <w:proofErr w:type="gramEnd"/>
      <w:r>
        <w:t xml:space="preserve"> open to suggestions – the important thing is that we get 6.3 updated so that it’s consistent across all 3 Pierce County WRIAs as described above.</w:t>
      </w:r>
    </w:p>
    <w:p w14:paraId="626CB21E" w14:textId="77777777" w:rsidR="002A1B77" w:rsidRDefault="002A1B77" w:rsidP="002A1B77">
      <w:pPr>
        <w:rPr>
          <w:color w:val="2F5496"/>
        </w:rPr>
      </w:pPr>
    </w:p>
    <w:p w14:paraId="7EFA25CD" w14:textId="77777777" w:rsidR="002A1B77" w:rsidRDefault="002A1B77" w:rsidP="002A1B77">
      <w:pPr>
        <w:ind w:left="720"/>
      </w:pPr>
      <w:r>
        <w:t xml:space="preserve">“This watershed plan incorporates assumptions that reflect the Pierce County comprehensive plan goals and policies. The comprehensive plan sets policy for development, housing, public services and facilities, and environmentally sensitive areas, among other topics. The comprehensive plan identifies where and how Pierce County plans for future population, housing, and job growth. This plan used the Pierce County zoning districts and Group </w:t>
      </w:r>
      <w:proofErr w:type="gramStart"/>
      <w:r>
        <w:t>A</w:t>
      </w:r>
      <w:proofErr w:type="gramEnd"/>
      <w:r>
        <w:t xml:space="preserve"> water system service areas as the basis for estimating the likely areas of future PE wells. </w:t>
      </w:r>
    </w:p>
    <w:p w14:paraId="5D8921CE" w14:textId="77777777" w:rsidR="002A1B77" w:rsidRDefault="002A1B77" w:rsidP="002A1B77">
      <w:pPr>
        <w:ind w:left="1440"/>
      </w:pPr>
    </w:p>
    <w:p w14:paraId="70E2D13F" w14:textId="77777777" w:rsidR="002A1B77" w:rsidRDefault="002A1B77" w:rsidP="002A1B77">
      <w:pPr>
        <w:spacing w:after="240"/>
        <w:ind w:left="720"/>
      </w:pPr>
      <w:r>
        <w:t xml:space="preserve">As a component of a comprehensive plan, a Capital Facilities Plan (CFP) identifies public facilities that </w:t>
      </w:r>
      <w:proofErr w:type="gramStart"/>
      <w:r>
        <w:t>will be needed</w:t>
      </w:r>
      <w:proofErr w:type="gramEnd"/>
      <w:r>
        <w:t xml:space="preserve"> to ensure service levels keep pace with expected development. It includes projects from a range of County functions, </w:t>
      </w:r>
      <w:proofErr w:type="gramStart"/>
      <w:r>
        <w:t>including:</w:t>
      </w:r>
      <w:proofErr w:type="gramEnd"/>
      <w:r>
        <w:t xml:space="preserve"> airport/ferries, emergency management, general administration, parks, roads, sewer, sheriff/court/correctional facilities, and surface water management. The CFP must identify the location and cost of capital facilities, as well as the sources of revenue that </w:t>
      </w:r>
      <w:proofErr w:type="gramStart"/>
      <w:r>
        <w:t>will be used</w:t>
      </w:r>
      <w:proofErr w:type="gramEnd"/>
      <w:r>
        <w:t xml:space="preserve"> to fund them. The plan </w:t>
      </w:r>
      <w:proofErr w:type="gramStart"/>
      <w:r>
        <w:t>is updated</w:t>
      </w:r>
      <w:proofErr w:type="gramEnd"/>
      <w:r>
        <w:t xml:space="preserve"> annually and appropriates funding for the following year. If the costs exceed the revenue, the County must reduce its level of service, reduce costs by implementing noncapital alternatives or other methods, or modify the land use element to bring development into balance with available or affordable facilities. </w:t>
      </w:r>
    </w:p>
    <w:p w14:paraId="48824FED" w14:textId="77777777" w:rsidR="002A1B77" w:rsidRDefault="002A1B77" w:rsidP="002A1B77">
      <w:pPr>
        <w:ind w:left="720"/>
      </w:pPr>
      <w:r>
        <w:t xml:space="preserve">Projects may also fall under the noncapital category. Noncapital alternatives include programs, strategies, and methods other than ‘brick and mortar’-type capital improvement to achieve the </w:t>
      </w:r>
      <w:proofErr w:type="gramStart"/>
      <w:r>
        <w:t>County’s</w:t>
      </w:r>
      <w:proofErr w:type="gramEnd"/>
      <w:r>
        <w:t xml:space="preserve"> required level of service. This category includes programs like education and outreach, improvements to existing facilities, and projects to improve natural drainage as an alternative to engineered solutions (e.g., levees and dikes). </w:t>
      </w:r>
    </w:p>
    <w:p w14:paraId="4A41229F" w14:textId="77777777" w:rsidR="002A1B77" w:rsidRDefault="002A1B77" w:rsidP="002A1B77">
      <w:pPr>
        <w:ind w:left="1440"/>
      </w:pPr>
    </w:p>
    <w:p w14:paraId="3FD9FA57" w14:textId="77777777" w:rsidR="002A1B77" w:rsidRDefault="002A1B77" w:rsidP="002A1B77">
      <w:pPr>
        <w:ind w:left="720"/>
      </w:pPr>
      <w:r>
        <w:t xml:space="preserve">Capital projects (structures or engineered improvements to land) identified through the watershed plan may be evaluated and prioritized for placement into the CFP. Most proposed projects will fall under the category of Surface Water Management. Pierce County’s Surface Water Management Division (SWM) uses the Surface Water Improvement Plan (SWIP) as its primary basis for project implementation planning. Not all projects listed in the SWIP make it into the CFP, but the SWIP informs which projects are incorporated. The SWIP is also a </w:t>
      </w:r>
      <w:proofErr w:type="gramStart"/>
      <w:r>
        <w:t>six year</w:t>
      </w:r>
      <w:proofErr w:type="gramEnd"/>
      <w:r>
        <w:t xml:space="preserve"> plan that is updated bi-annually. Projects come from existing, County-approved plans and </w:t>
      </w:r>
      <w:proofErr w:type="gramStart"/>
      <w:r>
        <w:t>are ranked</w:t>
      </w:r>
      <w:proofErr w:type="gramEnd"/>
      <w:r>
        <w:t xml:space="preserve"> for their ability to address flooding, water quality, habitat, and other factors. Limited available funding and new mandatory obligations also factor into capital project prioritization. If approved, the </w:t>
      </w:r>
      <w:r>
        <w:lastRenderedPageBreak/>
        <w:t>watershed plan will become one of the guiding project implementation plans for the SWIP.”</w:t>
      </w:r>
    </w:p>
    <w:p w14:paraId="2865A782" w14:textId="77777777" w:rsidR="002A1B77" w:rsidRDefault="002A1B77" w:rsidP="002A1B77"/>
    <w:p w14:paraId="5AF2FDD7" w14:textId="77777777" w:rsidR="002A1B77" w:rsidRDefault="002A1B77"/>
    <w:sectPr w:rsidR="002A1B77"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BBA"/>
    <w:multiLevelType w:val="hybridMultilevel"/>
    <w:tmpl w:val="A99C7A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F6BDF"/>
    <w:multiLevelType w:val="hybridMultilevel"/>
    <w:tmpl w:val="2350FC4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C577E"/>
    <w:multiLevelType w:val="hybridMultilevel"/>
    <w:tmpl w:val="A6DA77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11AAF"/>
    <w:multiLevelType w:val="hybridMultilevel"/>
    <w:tmpl w:val="A2B6A2C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90A0B"/>
    <w:multiLevelType w:val="hybridMultilevel"/>
    <w:tmpl w:val="D108ABD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7435F"/>
    <w:multiLevelType w:val="hybridMultilevel"/>
    <w:tmpl w:val="906A97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FA220F"/>
    <w:multiLevelType w:val="hybridMultilevel"/>
    <w:tmpl w:val="B2F01858"/>
    <w:lvl w:ilvl="0" w:tplc="E7B000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30126"/>
    <w:multiLevelType w:val="hybridMultilevel"/>
    <w:tmpl w:val="87B244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F64FF"/>
    <w:multiLevelType w:val="hybridMultilevel"/>
    <w:tmpl w:val="B2B086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548FD"/>
    <w:multiLevelType w:val="hybridMultilevel"/>
    <w:tmpl w:val="97145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4579B3"/>
    <w:multiLevelType w:val="hybridMultilevel"/>
    <w:tmpl w:val="34D09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2085D73"/>
    <w:multiLevelType w:val="hybridMultilevel"/>
    <w:tmpl w:val="23E46A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952D2"/>
    <w:multiLevelType w:val="hybridMultilevel"/>
    <w:tmpl w:val="2F262EE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7636F3"/>
    <w:multiLevelType w:val="hybridMultilevel"/>
    <w:tmpl w:val="A7CA8C4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F70B0"/>
    <w:multiLevelType w:val="hybridMultilevel"/>
    <w:tmpl w:val="B476C40C"/>
    <w:lvl w:ilvl="0" w:tplc="785A90C6">
      <w:start w:val="1"/>
      <w:numFmt w:val="decimal"/>
      <w:lvlText w:val="%1."/>
      <w:lvlJc w:val="left"/>
      <w:pPr>
        <w:tabs>
          <w:tab w:val="num" w:pos="720"/>
        </w:tabs>
        <w:ind w:left="720" w:hanging="360"/>
      </w:pPr>
    </w:lvl>
    <w:lvl w:ilvl="1" w:tplc="6F2ECD7C">
      <w:start w:val="1"/>
      <w:numFmt w:val="decimal"/>
      <w:lvlText w:val="%2."/>
      <w:lvlJc w:val="left"/>
      <w:pPr>
        <w:tabs>
          <w:tab w:val="num" w:pos="1440"/>
        </w:tabs>
        <w:ind w:left="1440" w:hanging="360"/>
      </w:pPr>
    </w:lvl>
    <w:lvl w:ilvl="2" w:tplc="B4F0E0D4">
      <w:start w:val="1"/>
      <w:numFmt w:val="decimal"/>
      <w:lvlText w:val="%3."/>
      <w:lvlJc w:val="left"/>
      <w:pPr>
        <w:tabs>
          <w:tab w:val="num" w:pos="2160"/>
        </w:tabs>
        <w:ind w:left="2160" w:hanging="360"/>
      </w:pPr>
    </w:lvl>
    <w:lvl w:ilvl="3" w:tplc="E1AE77A6">
      <w:start w:val="1"/>
      <w:numFmt w:val="decimal"/>
      <w:lvlText w:val="%4."/>
      <w:lvlJc w:val="left"/>
      <w:pPr>
        <w:tabs>
          <w:tab w:val="num" w:pos="2880"/>
        </w:tabs>
        <w:ind w:left="2880" w:hanging="360"/>
      </w:pPr>
    </w:lvl>
    <w:lvl w:ilvl="4" w:tplc="BC6AC00A">
      <w:start w:val="1"/>
      <w:numFmt w:val="decimal"/>
      <w:lvlText w:val="%5."/>
      <w:lvlJc w:val="left"/>
      <w:pPr>
        <w:tabs>
          <w:tab w:val="num" w:pos="3600"/>
        </w:tabs>
        <w:ind w:left="3600" w:hanging="360"/>
      </w:pPr>
    </w:lvl>
    <w:lvl w:ilvl="5" w:tplc="C9FA267E">
      <w:start w:val="1"/>
      <w:numFmt w:val="decimal"/>
      <w:lvlText w:val="%6."/>
      <w:lvlJc w:val="left"/>
      <w:pPr>
        <w:tabs>
          <w:tab w:val="num" w:pos="4320"/>
        </w:tabs>
        <w:ind w:left="4320" w:hanging="360"/>
      </w:pPr>
    </w:lvl>
    <w:lvl w:ilvl="6" w:tplc="25C8C420">
      <w:start w:val="1"/>
      <w:numFmt w:val="decimal"/>
      <w:lvlText w:val="%7."/>
      <w:lvlJc w:val="left"/>
      <w:pPr>
        <w:tabs>
          <w:tab w:val="num" w:pos="5040"/>
        </w:tabs>
        <w:ind w:left="5040" w:hanging="360"/>
      </w:pPr>
    </w:lvl>
    <w:lvl w:ilvl="7" w:tplc="8E2EE990">
      <w:start w:val="1"/>
      <w:numFmt w:val="decimal"/>
      <w:lvlText w:val="%8."/>
      <w:lvlJc w:val="left"/>
      <w:pPr>
        <w:tabs>
          <w:tab w:val="num" w:pos="5760"/>
        </w:tabs>
        <w:ind w:left="5760" w:hanging="360"/>
      </w:pPr>
    </w:lvl>
    <w:lvl w:ilvl="8" w:tplc="D84C5E4E">
      <w:start w:val="1"/>
      <w:numFmt w:val="decimal"/>
      <w:lvlText w:val="%9."/>
      <w:lvlJc w:val="left"/>
      <w:pPr>
        <w:tabs>
          <w:tab w:val="num" w:pos="6480"/>
        </w:tabs>
        <w:ind w:left="6480" w:hanging="360"/>
      </w:pPr>
    </w:lvl>
  </w:abstractNum>
  <w:abstractNum w:abstractNumId="15" w15:restartNumberingAfterBreak="0">
    <w:nsid w:val="68682C34"/>
    <w:multiLevelType w:val="hybridMultilevel"/>
    <w:tmpl w:val="0A84D67A"/>
    <w:lvl w:ilvl="0" w:tplc="E7B00068">
      <w:start w:val="1"/>
      <w:numFmt w:val="bullet"/>
      <w:lvlText w:val=""/>
      <w:lvlJc w:val="left"/>
      <w:pPr>
        <w:ind w:left="63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91A77"/>
    <w:multiLevelType w:val="hybridMultilevel"/>
    <w:tmpl w:val="8B662BF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305FEA"/>
    <w:multiLevelType w:val="hybridMultilevel"/>
    <w:tmpl w:val="9A2040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11"/>
  </w:num>
  <w:num w:numId="6">
    <w:abstractNumId w:val="17"/>
  </w:num>
  <w:num w:numId="7">
    <w:abstractNumId w:val="7"/>
  </w:num>
  <w:num w:numId="8">
    <w:abstractNumId w:val="16"/>
  </w:num>
  <w:num w:numId="9">
    <w:abstractNumId w:val="1"/>
  </w:num>
  <w:num w:numId="10">
    <w:abstractNumId w:val="0"/>
  </w:num>
  <w:num w:numId="11">
    <w:abstractNumId w:val="2"/>
  </w:num>
  <w:num w:numId="12">
    <w:abstractNumId w:val="8"/>
  </w:num>
  <w:num w:numId="13">
    <w:abstractNumId w:val="13"/>
  </w:num>
  <w:num w:numId="14">
    <w:abstractNumId w:val="4"/>
  </w:num>
  <w:num w:numId="15">
    <w:abstractNumId w:val="3"/>
  </w:num>
  <w:num w:numId="16">
    <w:abstractNumId w:val="15"/>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062A6C"/>
    <w:rsid w:val="00073FAE"/>
    <w:rsid w:val="001757B6"/>
    <w:rsid w:val="00186B8D"/>
    <w:rsid w:val="001A2227"/>
    <w:rsid w:val="0023578E"/>
    <w:rsid w:val="002A1B77"/>
    <w:rsid w:val="00317755"/>
    <w:rsid w:val="00321EAF"/>
    <w:rsid w:val="00330F52"/>
    <w:rsid w:val="003674E5"/>
    <w:rsid w:val="00433DB5"/>
    <w:rsid w:val="00464423"/>
    <w:rsid w:val="00482997"/>
    <w:rsid w:val="00646178"/>
    <w:rsid w:val="006E1869"/>
    <w:rsid w:val="00822F52"/>
    <w:rsid w:val="008F6A6A"/>
    <w:rsid w:val="00AA3992"/>
    <w:rsid w:val="00C73A1D"/>
    <w:rsid w:val="00D064BD"/>
    <w:rsid w:val="00D1010D"/>
    <w:rsid w:val="00D13BF5"/>
    <w:rsid w:val="00DC785E"/>
    <w:rsid w:val="00DD4D49"/>
    <w:rsid w:val="00EE6E42"/>
    <w:rsid w:val="00F12DF5"/>
    <w:rsid w:val="00F23F98"/>
    <w:rsid w:val="00F80FFA"/>
    <w:rsid w:val="00FF684F"/>
    <w:rsid w:val="025CC297"/>
    <w:rsid w:val="5732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F52"/>
    <w:pPr>
      <w:ind w:left="720"/>
    </w:pPr>
    <w:rPr>
      <w:rFonts w:ascii="Calibri" w:hAnsi="Calibri" w:cs="Calibri"/>
      <w:sz w:val="22"/>
      <w:szCs w:val="22"/>
    </w:rPr>
  </w:style>
  <w:style w:type="paragraph" w:customStyle="1" w:styleId="Default">
    <w:name w:val="Default"/>
    <w:basedOn w:val="Normal"/>
    <w:rsid w:val="006E1869"/>
    <w:pPr>
      <w:autoSpaceDE w:val="0"/>
      <w:autoSpaceDN w:val="0"/>
    </w:pPr>
    <w:rPr>
      <w:rFonts w:ascii="Franklin Gothic Book" w:hAnsi="Franklin Gothic Book" w:cs="Times New Roman"/>
      <w:color w:val="000000"/>
    </w:rPr>
  </w:style>
  <w:style w:type="table" w:styleId="TableGrid">
    <w:name w:val="Table Grid"/>
    <w:basedOn w:val="TableNormal"/>
    <w:uiPriority w:val="39"/>
    <w:rsid w:val="00330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4906">
      <w:bodyDiv w:val="1"/>
      <w:marLeft w:val="0"/>
      <w:marRight w:val="0"/>
      <w:marTop w:val="0"/>
      <w:marBottom w:val="0"/>
      <w:divBdr>
        <w:top w:val="none" w:sz="0" w:space="0" w:color="auto"/>
        <w:left w:val="none" w:sz="0" w:space="0" w:color="auto"/>
        <w:bottom w:val="none" w:sz="0" w:space="0" w:color="auto"/>
        <w:right w:val="none" w:sz="0" w:space="0" w:color="auto"/>
      </w:divBdr>
    </w:div>
    <w:div w:id="883366185">
      <w:bodyDiv w:val="1"/>
      <w:marLeft w:val="0"/>
      <w:marRight w:val="0"/>
      <w:marTop w:val="0"/>
      <w:marBottom w:val="0"/>
      <w:divBdr>
        <w:top w:val="none" w:sz="0" w:space="0" w:color="auto"/>
        <w:left w:val="none" w:sz="0" w:space="0" w:color="auto"/>
        <w:bottom w:val="none" w:sz="0" w:space="0" w:color="auto"/>
        <w:right w:val="none" w:sz="0" w:space="0" w:color="auto"/>
      </w:divBdr>
    </w:div>
    <w:div w:id="902448828">
      <w:bodyDiv w:val="1"/>
      <w:marLeft w:val="0"/>
      <w:marRight w:val="0"/>
      <w:marTop w:val="0"/>
      <w:marBottom w:val="0"/>
      <w:divBdr>
        <w:top w:val="none" w:sz="0" w:space="0" w:color="auto"/>
        <w:left w:val="none" w:sz="0" w:space="0" w:color="auto"/>
        <w:bottom w:val="none" w:sz="0" w:space="0" w:color="auto"/>
        <w:right w:val="none" w:sz="0" w:space="0" w:color="auto"/>
      </w:divBdr>
    </w:div>
    <w:div w:id="1163546696">
      <w:bodyDiv w:val="1"/>
      <w:marLeft w:val="0"/>
      <w:marRight w:val="0"/>
      <w:marTop w:val="0"/>
      <w:marBottom w:val="0"/>
      <w:divBdr>
        <w:top w:val="none" w:sz="0" w:space="0" w:color="auto"/>
        <w:left w:val="none" w:sz="0" w:space="0" w:color="auto"/>
        <w:bottom w:val="none" w:sz="0" w:space="0" w:color="auto"/>
        <w:right w:val="none" w:sz="0" w:space="0" w:color="auto"/>
      </w:divBdr>
    </w:div>
    <w:div w:id="1223902431">
      <w:bodyDiv w:val="1"/>
      <w:marLeft w:val="0"/>
      <w:marRight w:val="0"/>
      <w:marTop w:val="0"/>
      <w:marBottom w:val="0"/>
      <w:divBdr>
        <w:top w:val="none" w:sz="0" w:space="0" w:color="auto"/>
        <w:left w:val="none" w:sz="0" w:space="0" w:color="auto"/>
        <w:bottom w:val="none" w:sz="0" w:space="0" w:color="auto"/>
        <w:right w:val="none" w:sz="0" w:space="0" w:color="auto"/>
      </w:divBdr>
    </w:div>
    <w:div w:id="1400127695">
      <w:bodyDiv w:val="1"/>
      <w:marLeft w:val="0"/>
      <w:marRight w:val="0"/>
      <w:marTop w:val="0"/>
      <w:marBottom w:val="0"/>
      <w:divBdr>
        <w:top w:val="none" w:sz="0" w:space="0" w:color="auto"/>
        <w:left w:val="none" w:sz="0" w:space="0" w:color="auto"/>
        <w:bottom w:val="none" w:sz="0" w:space="0" w:color="auto"/>
        <w:right w:val="none" w:sz="0" w:space="0" w:color="auto"/>
      </w:divBdr>
    </w:div>
    <w:div w:id="1709376769">
      <w:bodyDiv w:val="1"/>
      <w:marLeft w:val="0"/>
      <w:marRight w:val="0"/>
      <w:marTop w:val="0"/>
      <w:marBottom w:val="0"/>
      <w:divBdr>
        <w:top w:val="none" w:sz="0" w:space="0" w:color="auto"/>
        <w:left w:val="none" w:sz="0" w:space="0" w:color="auto"/>
        <w:bottom w:val="none" w:sz="0" w:space="0" w:color="auto"/>
        <w:right w:val="none" w:sz="0" w:space="0" w:color="auto"/>
      </w:divBdr>
    </w:div>
    <w:div w:id="20786992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Needs review</Accessibility>
    <_dlc_DocId xmlns="ef268caf-1fb8-457d-9d19-5700d63503a6">Z7ARTAUZ4RFD-1961471117-844</_dlc_DocId>
    <_dlc_DocIdUrl xmlns="ef268caf-1fb8-457d-9d19-5700d63503a6">
      <Url>http://teams/sites/WR/srs/_layouts/15/DocIdRedir.aspx?ID=Z7ARTAUZ4RFD-1961471117-844</Url>
      <Description>Z7ARTAUZ4RFD-1961471117-844</Description>
    </_dlc_DocIdUrl>
  </documentManagement>
</p:properties>
</file>

<file path=customXml/itemProps1.xml><?xml version="1.0" encoding="utf-8"?>
<ds:datastoreItem xmlns:ds="http://schemas.openxmlformats.org/officeDocument/2006/customXml" ds:itemID="{39638CD2-D4E0-4C68-93BC-1089C9288A5E}"/>
</file>

<file path=customXml/itemProps2.xml><?xml version="1.0" encoding="utf-8"?>
<ds:datastoreItem xmlns:ds="http://schemas.openxmlformats.org/officeDocument/2006/customXml" ds:itemID="{66116D54-A9EE-48BD-84A7-157C409C6BE1}"/>
</file>

<file path=customXml/itemProps3.xml><?xml version="1.0" encoding="utf-8"?>
<ds:datastoreItem xmlns:ds="http://schemas.openxmlformats.org/officeDocument/2006/customXml" ds:itemID="{A455D76D-6C28-46AB-94EE-6BFE3A4F6090}"/>
</file>

<file path=customXml/itemProps4.xml><?xml version="1.0" encoding="utf-8"?>
<ds:datastoreItem xmlns:ds="http://schemas.openxmlformats.org/officeDocument/2006/customXml" ds:itemID="{96725B94-B721-41DD-92E8-896D1A651139}"/>
</file>

<file path=docProps/app.xml><?xml version="1.0" encoding="utf-8"?>
<Properties xmlns="http://schemas.openxmlformats.org/officeDocument/2006/extended-properties" xmlns:vt="http://schemas.openxmlformats.org/officeDocument/2006/docPropsVTypes">
  <Template>Normal</Template>
  <TotalTime>0</TotalTime>
  <Pages>6</Pages>
  <Words>2080</Words>
  <Characters>11858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15 Plan Corrections</dc:title>
  <dc:subject/>
  <dc:creator>Microsoft Office User</dc:creator>
  <cp:keywords/>
  <dc:description/>
  <cp:lastModifiedBy>Vynne McKinstry, Stacy J. (ECY)</cp:lastModifiedBy>
  <cp:revision>2</cp:revision>
  <dcterms:created xsi:type="dcterms:W3CDTF">2021-04-14T20:50:00Z</dcterms:created>
  <dcterms:modified xsi:type="dcterms:W3CDTF">2021-04-14T20:50:00Z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0a280aab-d0d3-4022-945a-d4655568b26f</vt:lpwstr>
  </property>
</Properties>
</file>