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CA45" w14:textId="4052C7DD" w:rsidR="006724EE" w:rsidRDefault="00B75799" w:rsidP="008C337D">
      <w:pPr>
        <w:pStyle w:val="Heading2"/>
        <w:spacing w:before="0" w:line="240" w:lineRule="auto"/>
        <w:jc w:val="center"/>
      </w:pPr>
      <w:r>
        <w:rPr>
          <w:noProof/>
        </w:rPr>
        <w:drawing>
          <wp:anchor distT="0" distB="0" distL="114300" distR="114300" simplePos="0" relativeHeight="251821056" behindDoc="0" locked="0" layoutInCell="1" allowOverlap="1" wp14:anchorId="39FC8B5E" wp14:editId="05785D92">
            <wp:simplePos x="0" y="0"/>
            <wp:positionH relativeFrom="column">
              <wp:posOffset>104568</wp:posOffset>
            </wp:positionH>
            <wp:positionV relativeFrom="paragraph">
              <wp:posOffset>-545465</wp:posOffset>
            </wp:positionV>
            <wp:extent cx="2700669" cy="397993"/>
            <wp:effectExtent l="0" t="0" r="4445" b="2540"/>
            <wp:wrapNone/>
            <wp:docPr id="2" name="Picture 2"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com.com.wa.lcl/Documents/DepComm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69" cy="3979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4EE">
        <w:t>Building Green Cities</w:t>
      </w:r>
      <w:r w:rsidR="00B75AB0">
        <w:t xml:space="preserve"> </w:t>
      </w:r>
    </w:p>
    <w:p w14:paraId="03619156" w14:textId="36D07CF3" w:rsidR="006724EE" w:rsidRDefault="006724EE" w:rsidP="008C337D">
      <w:pPr>
        <w:pStyle w:val="Heading2"/>
        <w:spacing w:before="0" w:line="240" w:lineRule="auto"/>
        <w:jc w:val="center"/>
      </w:pPr>
      <w:r>
        <w:t xml:space="preserve">Advisory Committee Meeting </w:t>
      </w:r>
      <w:r w:rsidR="00B75AB0">
        <w:t xml:space="preserve">Draft </w:t>
      </w:r>
      <w:r>
        <w:t>Summary</w:t>
      </w:r>
    </w:p>
    <w:p w14:paraId="511142AB" w14:textId="569EAC49" w:rsidR="006724EE" w:rsidRDefault="00C7792A" w:rsidP="008C337D">
      <w:pPr>
        <w:pStyle w:val="Heading2"/>
        <w:spacing w:before="0" w:line="240" w:lineRule="auto"/>
        <w:jc w:val="center"/>
      </w:pPr>
      <w:r>
        <w:t>Octobe</w:t>
      </w:r>
      <w:r w:rsidR="003E22DA">
        <w:t>r</w:t>
      </w:r>
      <w:bookmarkStart w:id="0" w:name="_GoBack"/>
      <w:bookmarkEnd w:id="0"/>
      <w:r>
        <w:t xml:space="preserve"> 24, 2017</w:t>
      </w:r>
    </w:p>
    <w:p w14:paraId="1E377D54" w14:textId="77777777" w:rsidR="006724EE" w:rsidRDefault="006724EE" w:rsidP="008A6EE9"/>
    <w:p w14:paraId="51CFC5DF" w14:textId="2CBB6A97" w:rsidR="00DC57D5" w:rsidRDefault="00DC57D5" w:rsidP="00B75799">
      <w:pPr>
        <w:pStyle w:val="Heading2"/>
      </w:pPr>
      <w:r>
        <w:t>Agenda</w:t>
      </w:r>
      <w:r w:rsidR="000D35BB">
        <w:t xml:space="preserve"> </w:t>
      </w:r>
      <w:r w:rsidR="00FD4251">
        <w:t xml:space="preserve">&amp; Committee Member List </w:t>
      </w:r>
      <w:r w:rsidRPr="009963B0">
        <w:t>(See attached)</w:t>
      </w:r>
    </w:p>
    <w:p w14:paraId="25ECCDF7" w14:textId="08A63169" w:rsidR="00C7792A" w:rsidRDefault="00C7792A" w:rsidP="00C7792A"/>
    <w:p w14:paraId="6AC230DB" w14:textId="365917CE" w:rsidR="00C7792A" w:rsidRDefault="00C7792A" w:rsidP="00C7792A">
      <w:pPr>
        <w:pStyle w:val="Heading2"/>
      </w:pPr>
      <w:r>
        <w:t>Attendance</w:t>
      </w:r>
    </w:p>
    <w:p w14:paraId="12F30E48" w14:textId="44A950FA" w:rsidR="00C7792A" w:rsidRDefault="00C7792A" w:rsidP="00C7792A">
      <w:r>
        <w:t>Gary Myers</w:t>
      </w:r>
      <w:r>
        <w:tab/>
      </w:r>
      <w:r>
        <w:tab/>
        <w:t>Washington Department of Ecology</w:t>
      </w:r>
    </w:p>
    <w:p w14:paraId="13197EE1" w14:textId="69FCA414" w:rsidR="00C7792A" w:rsidRDefault="00C7792A" w:rsidP="00C7792A">
      <w:r>
        <w:t xml:space="preserve">Amy Waterman </w:t>
      </w:r>
      <w:r>
        <w:tab/>
        <w:t>Seattle 2030</w:t>
      </w:r>
    </w:p>
    <w:p w14:paraId="1C2F7B6B" w14:textId="123329EC" w:rsidR="00C7792A" w:rsidRDefault="00C7792A" w:rsidP="00C7792A">
      <w:r>
        <w:t>Jessica Knickerbocker</w:t>
      </w:r>
      <w:r>
        <w:tab/>
        <w:t>City of Tacoma</w:t>
      </w:r>
    </w:p>
    <w:p w14:paraId="4FDBF589" w14:textId="5B2BAA8A" w:rsidR="00C7792A" w:rsidRDefault="00C7792A" w:rsidP="00C7792A">
      <w:r>
        <w:t>Heidi Siegelbaum</w:t>
      </w:r>
      <w:r>
        <w:tab/>
        <w:t>WSU Stormwater Center</w:t>
      </w:r>
    </w:p>
    <w:p w14:paraId="353A573C" w14:textId="0DBD2007" w:rsidR="00C7792A" w:rsidRDefault="00C7792A" w:rsidP="00C7792A">
      <w:r>
        <w:t>Mindy Roberts</w:t>
      </w:r>
      <w:r>
        <w:tab/>
      </w:r>
      <w:r>
        <w:tab/>
        <w:t>Washington Environmental Council</w:t>
      </w:r>
    </w:p>
    <w:p w14:paraId="7A159CAD" w14:textId="37E6D2FE" w:rsidR="00C7792A" w:rsidRDefault="00C7792A" w:rsidP="00C7792A">
      <w:r>
        <w:t>Pam Emerson</w:t>
      </w:r>
      <w:r>
        <w:tab/>
      </w:r>
      <w:r>
        <w:tab/>
        <w:t xml:space="preserve">City of Seattle </w:t>
      </w:r>
    </w:p>
    <w:p w14:paraId="2D3934B7" w14:textId="2B82584D" w:rsidR="00C7792A" w:rsidRDefault="00C7792A" w:rsidP="00C7792A">
      <w:r>
        <w:t>Vince McGowan</w:t>
      </w:r>
      <w:r>
        <w:tab/>
        <w:t>Washington Department of Ecology</w:t>
      </w:r>
    </w:p>
    <w:p w14:paraId="42825ECF" w14:textId="7E465CBE" w:rsidR="00C7792A" w:rsidRDefault="00C7792A" w:rsidP="00C7792A">
      <w:r>
        <w:t>Erika Harris</w:t>
      </w:r>
      <w:r>
        <w:tab/>
      </w:r>
      <w:r>
        <w:tab/>
        <w:t>Puget Sound Regional Council</w:t>
      </w:r>
    </w:p>
    <w:p w14:paraId="6C60E380" w14:textId="5DC2150F" w:rsidR="00C7792A" w:rsidRDefault="00C7792A" w:rsidP="00C7792A">
      <w:r>
        <w:t xml:space="preserve">Peg </w:t>
      </w:r>
      <w:proofErr w:type="spellStart"/>
      <w:r>
        <w:t>Staeheli</w:t>
      </w:r>
      <w:proofErr w:type="spellEnd"/>
      <w:r>
        <w:tab/>
      </w:r>
      <w:r>
        <w:tab/>
      </w:r>
      <w:proofErr w:type="spellStart"/>
      <w:r>
        <w:t>Mig</w:t>
      </w:r>
      <w:proofErr w:type="spellEnd"/>
      <w:r>
        <w:t>/</w:t>
      </w:r>
      <w:proofErr w:type="spellStart"/>
      <w:r>
        <w:t>SvR</w:t>
      </w:r>
      <w:proofErr w:type="spellEnd"/>
    </w:p>
    <w:p w14:paraId="79AEC72C" w14:textId="57E08E84" w:rsidR="00C7792A" w:rsidRDefault="00C7792A" w:rsidP="00C7792A">
      <w:proofErr w:type="spellStart"/>
      <w:r>
        <w:t>Micki</w:t>
      </w:r>
      <w:proofErr w:type="spellEnd"/>
      <w:r>
        <w:t xml:space="preserve"> McNaughton</w:t>
      </w:r>
      <w:r>
        <w:tab/>
      </w:r>
      <w:proofErr w:type="spellStart"/>
      <w:r>
        <w:t>Aborea</w:t>
      </w:r>
      <w:proofErr w:type="spellEnd"/>
    </w:p>
    <w:p w14:paraId="5CC841E8" w14:textId="653D6DF9" w:rsidR="00C7792A" w:rsidRDefault="00C7792A" w:rsidP="00C7792A">
      <w:r>
        <w:t>Jessie Israel</w:t>
      </w:r>
      <w:r>
        <w:tab/>
      </w:r>
      <w:r>
        <w:tab/>
      </w:r>
      <w:proofErr w:type="gramStart"/>
      <w:r>
        <w:t>The</w:t>
      </w:r>
      <w:proofErr w:type="gramEnd"/>
      <w:r>
        <w:t xml:space="preserve"> Nature Conservancy</w:t>
      </w:r>
    </w:p>
    <w:p w14:paraId="64CC3311" w14:textId="77386B20" w:rsidR="00C7792A" w:rsidRDefault="00C7792A" w:rsidP="00C7792A">
      <w:r>
        <w:t>Linden Lampman</w:t>
      </w:r>
      <w:r>
        <w:tab/>
        <w:t>Washington Department of Natural Resources</w:t>
      </w:r>
    </w:p>
    <w:p w14:paraId="77DFD8BF" w14:textId="66F9FD9C" w:rsidR="00DC57D5" w:rsidRDefault="00C7792A" w:rsidP="008A6EE9">
      <w:r>
        <w:t>Heather Ballash</w:t>
      </w:r>
      <w:r>
        <w:tab/>
      </w:r>
      <w:r>
        <w:tab/>
        <w:t>Washington Department of Commerce</w:t>
      </w:r>
    </w:p>
    <w:p w14:paraId="0375D6FA" w14:textId="4257645E" w:rsidR="00C7792A" w:rsidRDefault="00C7792A" w:rsidP="008A6EE9">
      <w:r>
        <w:t>Linda Bentley</w:t>
      </w:r>
      <w:r>
        <w:tab/>
      </w:r>
      <w:r>
        <w:tab/>
        <w:t>Washington Department of Commerce</w:t>
      </w:r>
    </w:p>
    <w:p w14:paraId="2DB23095" w14:textId="627D72E9" w:rsidR="00C7792A" w:rsidRDefault="00C7792A" w:rsidP="008A6EE9">
      <w:r>
        <w:t>Charlene Andrade</w:t>
      </w:r>
      <w:r>
        <w:tab/>
        <w:t>Washington Department of Commerce</w:t>
      </w:r>
    </w:p>
    <w:p w14:paraId="01AE4B8F" w14:textId="77777777" w:rsidR="00C7792A" w:rsidRDefault="00C7792A" w:rsidP="008A6EE9"/>
    <w:p w14:paraId="618B1DA8" w14:textId="77777777" w:rsidR="006724EE" w:rsidRPr="009963B0" w:rsidRDefault="006724EE" w:rsidP="00B75799">
      <w:pPr>
        <w:pStyle w:val="Heading2"/>
      </w:pPr>
      <w:r w:rsidRPr="009963B0">
        <w:t>Project Description</w:t>
      </w:r>
    </w:p>
    <w:p w14:paraId="30FDA30E" w14:textId="6F0BCBA2" w:rsidR="008A6EE9" w:rsidRDefault="008A6EE9" w:rsidP="008A6EE9">
      <w:r>
        <w:t xml:space="preserve">Erika and Heather explained </w:t>
      </w:r>
      <w:r w:rsidR="00E115AA">
        <w:t xml:space="preserve">that </w:t>
      </w:r>
      <w:r>
        <w:t xml:space="preserve">the </w:t>
      </w:r>
      <w:r w:rsidR="00E115AA">
        <w:t xml:space="preserve">goal of the </w:t>
      </w:r>
      <w:r>
        <w:t>project</w:t>
      </w:r>
      <w:r w:rsidR="00BA6727">
        <w:t xml:space="preserve"> is to</w:t>
      </w:r>
      <w:r>
        <w:t xml:space="preserve"> </w:t>
      </w:r>
      <w:r w:rsidRPr="00C7792A">
        <w:t xml:space="preserve">encourage </w:t>
      </w:r>
      <w:r w:rsidR="00E115AA">
        <w:t xml:space="preserve">incorporating </w:t>
      </w:r>
      <w:r>
        <w:t xml:space="preserve">green infrastructure </w:t>
      </w:r>
      <w:r w:rsidR="00210B27">
        <w:t>into urban centers to make them</w:t>
      </w:r>
      <w:r>
        <w:t xml:space="preserve"> more healthy and attractive</w:t>
      </w:r>
      <w:r w:rsidR="00B91680">
        <w:t>.</w:t>
      </w:r>
      <w:r>
        <w:t xml:space="preserve"> </w:t>
      </w:r>
      <w:r w:rsidR="006724EE">
        <w:t xml:space="preserve">The project will be focused </w:t>
      </w:r>
      <w:r w:rsidR="00E115AA">
        <w:t xml:space="preserve">on </w:t>
      </w:r>
      <w:r>
        <w:t>PSRC’s regional growth centers</w:t>
      </w:r>
      <w:r w:rsidR="00E115AA">
        <w:t xml:space="preserve"> (map attached</w:t>
      </w:r>
      <w:r w:rsidR="000C7B6B">
        <w:t xml:space="preserve"> </w:t>
      </w:r>
      <w:r w:rsidR="00B91680">
        <w:t xml:space="preserve">and at: </w:t>
      </w:r>
      <w:hyperlink r:id="rId9" w:history="1">
        <w:r w:rsidR="000C7B6B" w:rsidRPr="008536F0">
          <w:rPr>
            <w:rStyle w:val="Hyperlink"/>
          </w:rPr>
          <w:t>https://www.psrc.org/sites/default/files/centers_small_0.pdf</w:t>
        </w:r>
      </w:hyperlink>
      <w:r w:rsidR="000C7B6B">
        <w:t xml:space="preserve"> </w:t>
      </w:r>
      <w:r w:rsidR="00E115AA">
        <w:t>)</w:t>
      </w:r>
      <w:r>
        <w:t xml:space="preserve">. Erika and Heather said the </w:t>
      </w:r>
      <w:r w:rsidR="008B5D76">
        <w:t xml:space="preserve">project hopes </w:t>
      </w:r>
      <w:r>
        <w:t xml:space="preserve">to provide a tool box of incentives that local governments could offer to private developers if they include green infrastructure in redevelopment projects in urban areas when the permit would not normally require it. </w:t>
      </w:r>
    </w:p>
    <w:p w14:paraId="0D650E94" w14:textId="77777777" w:rsidR="008A6EE9" w:rsidRDefault="008A6EE9" w:rsidP="008A6EE9"/>
    <w:p w14:paraId="78ED09F8" w14:textId="77777777" w:rsidR="008A6EE9" w:rsidRPr="009963B0" w:rsidRDefault="008A6EE9" w:rsidP="00B75799">
      <w:pPr>
        <w:pStyle w:val="Heading2"/>
      </w:pPr>
      <w:r w:rsidRPr="009963B0">
        <w:t>Committee Discussion:</w:t>
      </w:r>
    </w:p>
    <w:p w14:paraId="38A476DD" w14:textId="77777777" w:rsidR="008A6EE9" w:rsidRDefault="00C66347" w:rsidP="008A6EE9">
      <w:r>
        <w:t>The Committee then spent some time discussing ideas for focusing the project</w:t>
      </w:r>
      <w:r w:rsidR="00F86518">
        <w:t xml:space="preserve"> and discussed barriers and incentives</w:t>
      </w:r>
      <w:r>
        <w:t xml:space="preserve">. The following summarizes the general discussion: </w:t>
      </w:r>
    </w:p>
    <w:p w14:paraId="1870DB39" w14:textId="77777777" w:rsidR="00C66347" w:rsidRDefault="00C66347" w:rsidP="008A6EE9"/>
    <w:p w14:paraId="3C96D281" w14:textId="2AE6E783" w:rsidR="008A6EE9" w:rsidRDefault="008A6EE9" w:rsidP="008A6EE9">
      <w:r>
        <w:t xml:space="preserve">The intersection of land use and stormwater is a pinch point for municipalities. We need to span that pinch point of what is required and what would be better to do to be prepared for the future. </w:t>
      </w:r>
      <w:r w:rsidR="00673B43">
        <w:t xml:space="preserve">Space for green infrastructure </w:t>
      </w:r>
      <w:r>
        <w:t xml:space="preserve">in urban </w:t>
      </w:r>
      <w:r w:rsidR="00673B43">
        <w:t>centers is limited</w:t>
      </w:r>
      <w:r>
        <w:t>. Developers have to include sidewalks. Space needs to be discussed as part of this project. It is not as simple as “incentives”. It is a “take” issue. And there is a challenge with local government providing incentives because they cannot really give money under the state constitution. We need to be clear at a policy level before we get to social marketing.</w:t>
      </w:r>
    </w:p>
    <w:p w14:paraId="01166C91" w14:textId="77777777" w:rsidR="008A6EE9" w:rsidRDefault="008A6EE9" w:rsidP="008A6EE9"/>
    <w:p w14:paraId="544FB803" w14:textId="61C2121D" w:rsidR="008A6EE9" w:rsidRDefault="008A6EE9" w:rsidP="008A6EE9">
      <w:r>
        <w:t xml:space="preserve">Green Stormwater Infrastructure (GSI) is more than low impact development (LID). It’s not just land use. What you can do on the land (regulations), and what you do to mitigate it. They are related, but are in different </w:t>
      </w:r>
      <w:r>
        <w:lastRenderedPageBreak/>
        <w:t>buckets. If that is the case, then we are talking about both buckets.</w:t>
      </w:r>
      <w:r w:rsidR="001F5E96">
        <w:t xml:space="preserve"> GSI and LID benefits are measured differently, and success factors for a project are different.</w:t>
      </w:r>
    </w:p>
    <w:p w14:paraId="115333EB" w14:textId="77777777" w:rsidR="008A6EE9" w:rsidRDefault="008A6EE9" w:rsidP="008A6EE9"/>
    <w:p w14:paraId="3FFB81BB" w14:textId="77777777" w:rsidR="008A6EE9" w:rsidRDefault="008A6EE9" w:rsidP="008A6EE9">
      <w:r>
        <w:t>Based on polling that The Nature Conservancy did, people prefer the term “nature-based solutions” rather than green infrastructure. And they prefer “rain” to “stormwater”.</w:t>
      </w:r>
    </w:p>
    <w:p w14:paraId="2EACC817" w14:textId="77777777" w:rsidR="008A6EE9" w:rsidRDefault="008A6EE9" w:rsidP="008A6EE9"/>
    <w:p w14:paraId="3584D613" w14:textId="56EFB42A" w:rsidR="008A6EE9" w:rsidRDefault="00673B43" w:rsidP="008A6EE9">
      <w:r>
        <w:t>O</w:t>
      </w:r>
      <w:r w:rsidR="008A6EE9">
        <w:t>ther barrier</w:t>
      </w:r>
      <w:r>
        <w:t>s</w:t>
      </w:r>
      <w:r w:rsidR="008A6EE9">
        <w:t xml:space="preserve"> </w:t>
      </w:r>
      <w:r>
        <w:t>are</w:t>
      </w:r>
      <w:r w:rsidR="008A6EE9">
        <w:t xml:space="preserve"> the availability of geotechnical information </w:t>
      </w:r>
      <w:r>
        <w:t xml:space="preserve">and </w:t>
      </w:r>
      <w:r w:rsidR="008A6EE9">
        <w:t>the requirement for monitoring for a year</w:t>
      </w:r>
      <w:r w:rsidR="00F86518">
        <w:t xml:space="preserve">.  </w:t>
      </w:r>
      <w:r w:rsidR="008A6EE9">
        <w:t>The data level varies between and within jurisdictions</w:t>
      </w:r>
      <w:r w:rsidR="00F86518">
        <w:t xml:space="preserve"> and between new and upgrading existing sites</w:t>
      </w:r>
      <w:r w:rsidR="008A6EE9">
        <w:t>.</w:t>
      </w:r>
    </w:p>
    <w:p w14:paraId="441567D3" w14:textId="77777777" w:rsidR="008A6EE9" w:rsidRDefault="008A6EE9" w:rsidP="008A6EE9"/>
    <w:p w14:paraId="2FED1F11" w14:textId="44DF82BA" w:rsidR="00F86518" w:rsidRDefault="008A6EE9" w:rsidP="00F86518">
      <w:pPr>
        <w:rPr>
          <w:color w:val="1F497D"/>
          <w:u w:val="single"/>
        </w:rPr>
      </w:pPr>
      <w:r>
        <w:t>Sustainability and environment</w:t>
      </w:r>
      <w:r w:rsidR="00673B43">
        <w:t>al</w:t>
      </w:r>
      <w:r>
        <w:t xml:space="preserve"> justice must be addressed or this project will fail. We must address the affordability and displacement risks. We must be inclusive.</w:t>
      </w:r>
      <w:r w:rsidR="00F86518">
        <w:t xml:space="preserve">  </w:t>
      </w:r>
      <w:r w:rsidR="00F86518" w:rsidRPr="008C337D">
        <w:t>Community groups are recognized as an important focus group for implementing these types of projects as much as developers and municipalities. Some recommended addressing barriers and incentives to community groups, as well as including a diversity of community groups on the advisory committee and in the social marketing study</w:t>
      </w:r>
      <w:r w:rsidR="00F86518" w:rsidRPr="008C337D">
        <w:rPr>
          <w:color w:val="1F497D"/>
        </w:rPr>
        <w:t>.</w:t>
      </w:r>
    </w:p>
    <w:p w14:paraId="36CD972F" w14:textId="77777777" w:rsidR="008A6EE9" w:rsidRDefault="008A6EE9" w:rsidP="008A6EE9"/>
    <w:p w14:paraId="0196186D" w14:textId="5C7E120A" w:rsidR="008A6EE9" w:rsidRDefault="008A6EE9" w:rsidP="008A6EE9">
      <w:r>
        <w:t>Transportation folks need to be included in the group.</w:t>
      </w:r>
    </w:p>
    <w:p w14:paraId="378629FA" w14:textId="77777777" w:rsidR="008A6EE9" w:rsidRDefault="008A6EE9" w:rsidP="008A6EE9"/>
    <w:p w14:paraId="3105306A" w14:textId="77777777" w:rsidR="008A6EE9" w:rsidRDefault="008A6EE9" w:rsidP="008A6EE9">
      <w:r>
        <w:t>We need tailored approaches for different sized jurisdictions, different locations</w:t>
      </w:r>
      <w:r w:rsidR="001F5E96">
        <w:t>,</w:t>
      </w:r>
      <w:r>
        <w:t xml:space="preserve"> and maybe different economic situations.</w:t>
      </w:r>
    </w:p>
    <w:p w14:paraId="2F1F2F1F" w14:textId="77777777" w:rsidR="008A6EE9" w:rsidRDefault="008A6EE9" w:rsidP="008A6EE9"/>
    <w:p w14:paraId="5A5F7F38" w14:textId="64EACFDA" w:rsidR="008A6EE9" w:rsidRDefault="008A6EE9" w:rsidP="008A6EE9">
      <w:r>
        <w:t xml:space="preserve">Are we talking about future development or righting past wrongs? Are we looking forward or back? We need to be clear about the distinction. The Nature Conservancy is designing a methodology to interview Phase I and Phase II jurisdictions regarding how they design green infrastructure. They are collecting stories of innovation. In looking at the regional growth center map, it was noted that it is interesting what isn’t in the regional growth centers that could be protected. In response, another commenter stated that they are not sure the urban growth area has been successful because things have not gotten better. However, the subarea plan for the Tacoma Mall regional growth center </w:t>
      </w:r>
      <w:r w:rsidR="00F86518">
        <w:t xml:space="preserve">is a good success story and </w:t>
      </w:r>
      <w:r>
        <w:t>will provide for green infrastructure retrofits in an existing neighborhood. And, the Nort</w:t>
      </w:r>
      <w:r w:rsidR="00C7792A">
        <w:t>h</w:t>
      </w:r>
      <w:r w:rsidR="008D28C5">
        <w:t>gate</w:t>
      </w:r>
      <w:r>
        <w:t xml:space="preserve"> Mall retrofit of the parking lot was totally incentivized. Technical assistance was the incentive. The developer didn’t lose any uses of the property. The City was able to make the business case for it. The developer voluntarily righted a past wrong.</w:t>
      </w:r>
    </w:p>
    <w:p w14:paraId="1CA061B6" w14:textId="77777777" w:rsidR="008A6EE9" w:rsidRDefault="008A6EE9" w:rsidP="008A6EE9"/>
    <w:p w14:paraId="4FD138D7" w14:textId="77777777" w:rsidR="008A6EE9" w:rsidRDefault="008A6EE9" w:rsidP="008A6EE9">
      <w:r>
        <w:t>Another source of information that could be useful are data layers regarding pollutant loading from stormwater for maps. King County has been mapped.</w:t>
      </w:r>
    </w:p>
    <w:p w14:paraId="287E7303" w14:textId="77777777" w:rsidR="008A6EE9" w:rsidRDefault="008A6EE9" w:rsidP="008A6EE9"/>
    <w:p w14:paraId="160F0AF1" w14:textId="5BA179A5" w:rsidR="008A6EE9" w:rsidRDefault="008A6EE9" w:rsidP="00B75799">
      <w:pPr>
        <w:pStyle w:val="Heading2"/>
      </w:pPr>
      <w:r>
        <w:t>Key questions</w:t>
      </w:r>
      <w:r w:rsidR="009B1DD1">
        <w:t>/messages:</w:t>
      </w:r>
      <w:r>
        <w:t xml:space="preserve"> </w:t>
      </w:r>
    </w:p>
    <w:p w14:paraId="5A2372A7" w14:textId="5CC490B9" w:rsidR="008A6EE9" w:rsidRDefault="009B1DD1" w:rsidP="008A6EE9">
      <w:pPr>
        <w:pStyle w:val="ListParagraph"/>
        <w:numPr>
          <w:ilvl w:val="0"/>
          <w:numId w:val="1"/>
        </w:numPr>
      </w:pPr>
      <w:r>
        <w:t>Looking f</w:t>
      </w:r>
      <w:r w:rsidR="008A6EE9">
        <w:t>orward versus backward</w:t>
      </w:r>
      <w:r w:rsidR="001F5E96">
        <w:t xml:space="preserve"> (new vs. old development)</w:t>
      </w:r>
      <w:r w:rsidR="008A6EE9">
        <w:t xml:space="preserve"> in providing incentives</w:t>
      </w:r>
    </w:p>
    <w:p w14:paraId="1CF245DD" w14:textId="77777777" w:rsidR="008A6EE9" w:rsidRDefault="008A6EE9" w:rsidP="008A6EE9">
      <w:pPr>
        <w:pStyle w:val="ListParagraph"/>
        <w:numPr>
          <w:ilvl w:val="0"/>
          <w:numId w:val="1"/>
        </w:numPr>
      </w:pPr>
      <w:r>
        <w:t xml:space="preserve">Land use </w:t>
      </w:r>
      <w:r w:rsidR="001F5E96">
        <w:t xml:space="preserve">(growth) </w:t>
      </w:r>
      <w:r>
        <w:t xml:space="preserve">versus </w:t>
      </w:r>
      <w:r w:rsidR="009B1DD1">
        <w:t xml:space="preserve">regulatory </w:t>
      </w:r>
      <w:r>
        <w:t>mitigation (NPDES)</w:t>
      </w:r>
    </w:p>
    <w:p w14:paraId="156EF6EB" w14:textId="77777777" w:rsidR="008A6EE9" w:rsidRDefault="008A6EE9" w:rsidP="008A6EE9">
      <w:pPr>
        <w:pStyle w:val="ListParagraph"/>
        <w:numPr>
          <w:ilvl w:val="0"/>
          <w:numId w:val="1"/>
        </w:numPr>
      </w:pPr>
      <w:r>
        <w:t>Denser communities versus single family residential</w:t>
      </w:r>
    </w:p>
    <w:p w14:paraId="5D0361B9" w14:textId="77777777" w:rsidR="008A6EE9" w:rsidRDefault="008A6EE9" w:rsidP="008A6EE9">
      <w:pPr>
        <w:pStyle w:val="ListParagraph"/>
        <w:numPr>
          <w:ilvl w:val="0"/>
          <w:numId w:val="1"/>
        </w:numPr>
      </w:pPr>
      <w:r>
        <w:t>Bigger jurisdictions versus smaller</w:t>
      </w:r>
    </w:p>
    <w:p w14:paraId="65C8D391" w14:textId="7BF0E49E" w:rsidR="008A6EE9" w:rsidRDefault="001F5E96" w:rsidP="008A6EE9">
      <w:pPr>
        <w:pStyle w:val="ListParagraph"/>
        <w:numPr>
          <w:ilvl w:val="0"/>
          <w:numId w:val="1"/>
        </w:numPr>
      </w:pPr>
      <w:r>
        <w:t>Who’s our audience</w:t>
      </w:r>
      <w:r w:rsidR="008A6EE9">
        <w:t>– cities, developers, general public (with the caveat that need to be careful about lumping all in the “general public”)</w:t>
      </w:r>
    </w:p>
    <w:p w14:paraId="646947F3" w14:textId="77777777" w:rsidR="001F5E96" w:rsidRDefault="001F5E96" w:rsidP="008A6EE9">
      <w:pPr>
        <w:pStyle w:val="ListParagraph"/>
        <w:numPr>
          <w:ilvl w:val="0"/>
          <w:numId w:val="1"/>
        </w:numPr>
      </w:pPr>
      <w:r>
        <w:t>Large conceptual project vs. location-based tailored approach (and what areas)</w:t>
      </w:r>
    </w:p>
    <w:p w14:paraId="35FA3328" w14:textId="77777777" w:rsidR="001F5E96" w:rsidRDefault="001F5E96" w:rsidP="008A6EE9">
      <w:pPr>
        <w:pStyle w:val="ListParagraph"/>
        <w:numPr>
          <w:ilvl w:val="0"/>
          <w:numId w:val="1"/>
        </w:numPr>
      </w:pPr>
      <w:r>
        <w:t>People benefits vs. water quality and runoff benefits</w:t>
      </w:r>
    </w:p>
    <w:p w14:paraId="5A89655D" w14:textId="77777777" w:rsidR="001F5E96" w:rsidRDefault="001F5E96" w:rsidP="008A6EE9">
      <w:pPr>
        <w:pStyle w:val="ListParagraph"/>
        <w:numPr>
          <w:ilvl w:val="0"/>
          <w:numId w:val="1"/>
        </w:numPr>
      </w:pPr>
      <w:r>
        <w:t>Recovery of water quality vs. good cities</w:t>
      </w:r>
    </w:p>
    <w:p w14:paraId="640286D6" w14:textId="77777777" w:rsidR="001F5E96" w:rsidRDefault="001F5E96" w:rsidP="008A6EE9">
      <w:pPr>
        <w:pStyle w:val="ListParagraph"/>
        <w:numPr>
          <w:ilvl w:val="0"/>
          <w:numId w:val="1"/>
        </w:numPr>
      </w:pPr>
      <w:r>
        <w:t>Property fix vs. community fix</w:t>
      </w:r>
    </w:p>
    <w:p w14:paraId="048460AE" w14:textId="77777777" w:rsidR="008A6EE9" w:rsidRDefault="008A6EE9" w:rsidP="008A6EE9"/>
    <w:p w14:paraId="657DB1C6" w14:textId="35F26170" w:rsidR="008A6EE9" w:rsidRDefault="00C7792A" w:rsidP="008A6EE9">
      <w:r>
        <w:lastRenderedPageBreak/>
        <w:t>G</w:t>
      </w:r>
      <w:r w:rsidR="008D28C5">
        <w:t xml:space="preserve">reen infrastructure </w:t>
      </w:r>
      <w:r>
        <w:t xml:space="preserve">should be promoted </w:t>
      </w:r>
      <w:r w:rsidR="008A6EE9">
        <w:t xml:space="preserve">even </w:t>
      </w:r>
      <w:r>
        <w:t xml:space="preserve">in areas where permits are not required and for other reasons than water quality, such as for healthy communities. </w:t>
      </w:r>
    </w:p>
    <w:p w14:paraId="2219EC79" w14:textId="77777777" w:rsidR="008A6EE9" w:rsidRDefault="008A6EE9" w:rsidP="008A6EE9"/>
    <w:p w14:paraId="579194E1" w14:textId="7F6E06EB" w:rsidR="008A6EE9" w:rsidRDefault="008A6EE9" w:rsidP="008A6EE9">
      <w:r>
        <w:t>What is success? Is it Puget Sound recovery or healthy communities? We should invest</w:t>
      </w:r>
      <w:r w:rsidR="00210B27">
        <w:t xml:space="preserve"> in</w:t>
      </w:r>
      <w:r>
        <w:t xml:space="preserve"> the most cost effective places. The cost of retrofitting everywhere is prohibitive. So we must prioritize for the most cost effective (lowest cost point in time) projects with the most benefit.</w:t>
      </w:r>
    </w:p>
    <w:p w14:paraId="07095B0D" w14:textId="77777777" w:rsidR="008A6EE9" w:rsidRDefault="008A6EE9" w:rsidP="008A6EE9"/>
    <w:p w14:paraId="0CF6B700" w14:textId="77777777" w:rsidR="008A6EE9" w:rsidRDefault="008A6EE9" w:rsidP="008A6EE9">
      <w:r>
        <w:t>How do we attract innovators and early adopters? We need to know that before we decide how to answer the key questions. What are the commonalities among innovators – what inspires them? There is lots of research on this. And how do we get from innovators to early adopters?</w:t>
      </w:r>
    </w:p>
    <w:p w14:paraId="6FD73418" w14:textId="77777777" w:rsidR="008A6EE9" w:rsidRDefault="008A6EE9" w:rsidP="008A6EE9"/>
    <w:p w14:paraId="2DF6664B" w14:textId="2E90E4B3" w:rsidR="008A6EE9" w:rsidRDefault="008A6EE9" w:rsidP="008A6EE9">
      <w:r>
        <w:t>Developers’ first question of this project will be why do it? The second question will be who benefits? Who benefits statements need to be in the why.</w:t>
      </w:r>
    </w:p>
    <w:p w14:paraId="60BF2289" w14:textId="77777777" w:rsidR="008A6EE9" w:rsidRDefault="008A6EE9" w:rsidP="008A6EE9"/>
    <w:p w14:paraId="1F9CD310" w14:textId="77777777" w:rsidR="008A6EE9" w:rsidRDefault="008A6EE9" w:rsidP="008A6EE9">
      <w:r>
        <w:t>It was agreed that the discussion may be expanding the scope. We need to make sure we stay focused for purposes of this project. We need to be explicit about what we want in the “social marketing study”. It should be social research on barriers and incentives. It was agreed that we need to have another meeting in a month to narrow and define the scope.</w:t>
      </w:r>
    </w:p>
    <w:p w14:paraId="5E59D8DD" w14:textId="77777777" w:rsidR="008A6EE9" w:rsidRDefault="008A6EE9" w:rsidP="008A6EE9"/>
    <w:p w14:paraId="37E17E23" w14:textId="77777777" w:rsidR="008A6EE9" w:rsidRDefault="008A6EE9" w:rsidP="008A6EE9">
      <w:r>
        <w:t xml:space="preserve">We should reach out to the Green Infrastructure Exchange. Need to network to get this going. There are studies all over the country. </w:t>
      </w:r>
    </w:p>
    <w:p w14:paraId="60B0D51C" w14:textId="77777777" w:rsidR="008A6EE9" w:rsidRDefault="008A6EE9" w:rsidP="008A6EE9"/>
    <w:p w14:paraId="7AEC8F8D" w14:textId="77777777" w:rsidR="008A6EE9" w:rsidRDefault="008A6EE9" w:rsidP="008A6EE9">
      <w:r>
        <w:t>The Nature Conservancy is working with Denny Heck and Derek Kilmer to create federal incentives for green infrastructure. They will have a listening session in Tacoma in November.</w:t>
      </w:r>
    </w:p>
    <w:p w14:paraId="604C0224" w14:textId="4333F82F" w:rsidR="008A6EE9" w:rsidRDefault="008A6EE9" w:rsidP="008A6EE9"/>
    <w:p w14:paraId="3BC4F4F9" w14:textId="2CFF75CD" w:rsidR="00FD4251" w:rsidRPr="009963B0" w:rsidRDefault="00FD4251" w:rsidP="00B75799">
      <w:pPr>
        <w:pStyle w:val="Heading2"/>
      </w:pPr>
      <w:r w:rsidRPr="009963B0">
        <w:t xml:space="preserve">Social Marketing Study </w:t>
      </w:r>
    </w:p>
    <w:p w14:paraId="5EFB0AE6" w14:textId="07A266CC" w:rsidR="008A6EE9" w:rsidRDefault="00FD4251" w:rsidP="008A6EE9">
      <w:r>
        <w:t xml:space="preserve">The project will employ social marketing to understand impediments and </w:t>
      </w:r>
      <w:r w:rsidR="002D3787">
        <w:t xml:space="preserve">to identify incentives for changing behaviors </w:t>
      </w:r>
      <w:r w:rsidR="008B5D76">
        <w:t xml:space="preserve">for </w:t>
      </w:r>
      <w:r w:rsidR="002D3787">
        <w:t xml:space="preserve">increasing LID.  Some noted that we may need to </w:t>
      </w:r>
      <w:r w:rsidR="00210B27">
        <w:t>decide</w:t>
      </w:r>
      <w:r w:rsidR="002D3787">
        <w:t xml:space="preserve"> who is the target change audience here (developers, municipalities, communities, and localities) before social marketing can help.  </w:t>
      </w:r>
      <w:r w:rsidR="008A6EE9">
        <w:t xml:space="preserve">Heidi Siegelbaum made a presentation on Social Marketing </w:t>
      </w:r>
      <w:r w:rsidR="00DC57D5">
        <w:t>(</w:t>
      </w:r>
      <w:r>
        <w:t xml:space="preserve">see </w:t>
      </w:r>
      <w:r w:rsidR="00DC57D5">
        <w:t>attached)</w:t>
      </w:r>
      <w:r>
        <w:t>.</w:t>
      </w:r>
      <w:r w:rsidR="00DC57D5">
        <w:t xml:space="preserve"> </w:t>
      </w:r>
      <w:r>
        <w:t>I</w:t>
      </w:r>
      <w:r w:rsidR="00DC57D5">
        <w:t xml:space="preserve">t </w:t>
      </w:r>
      <w:r w:rsidR="008A6EE9">
        <w:t xml:space="preserve">will </w:t>
      </w:r>
      <w:r>
        <w:t xml:space="preserve">also </w:t>
      </w:r>
      <w:r w:rsidR="008A6EE9">
        <w:t xml:space="preserve">be posted </w:t>
      </w:r>
      <w:r w:rsidR="00DC57D5">
        <w:t xml:space="preserve">on </w:t>
      </w:r>
      <w:r w:rsidR="008A6EE9">
        <w:t>the web site with the meeting agenda and summary.</w:t>
      </w:r>
    </w:p>
    <w:p w14:paraId="5FDE0201" w14:textId="3A5C9B74" w:rsidR="008A6EE9" w:rsidRDefault="008A6EE9" w:rsidP="008A6EE9"/>
    <w:p w14:paraId="0DC477CD" w14:textId="7C4E4353" w:rsidR="002D3787" w:rsidRPr="009963B0" w:rsidRDefault="002D3787" w:rsidP="00B75799">
      <w:pPr>
        <w:pStyle w:val="Heading2"/>
      </w:pPr>
      <w:r w:rsidRPr="009963B0">
        <w:t xml:space="preserve">Literature </w:t>
      </w:r>
      <w:r w:rsidR="00210B27">
        <w:t>S</w:t>
      </w:r>
      <w:r w:rsidRPr="009963B0">
        <w:t>earch</w:t>
      </w:r>
    </w:p>
    <w:p w14:paraId="7709FC1C" w14:textId="7E99F8EE" w:rsidR="008A6EE9" w:rsidRPr="00B75AB0" w:rsidRDefault="008A6EE9" w:rsidP="00B75AB0">
      <w:pPr>
        <w:rPr>
          <w:rStyle w:val="Heading2Char"/>
        </w:rPr>
      </w:pPr>
      <w:r>
        <w:t xml:space="preserve">Linda Bentley talked about the literature search </w:t>
      </w:r>
      <w:r w:rsidR="002D3787">
        <w:t xml:space="preserve">efforts that will be posted </w:t>
      </w:r>
      <w:r w:rsidR="002A54C1">
        <w:t xml:space="preserve">at </w:t>
      </w:r>
      <w:hyperlink r:id="rId10" w:history="1">
        <w:r w:rsidR="002A54C1" w:rsidRPr="003D5C6C">
          <w:rPr>
            <w:rStyle w:val="Hyperlink"/>
          </w:rPr>
          <w:t>www.ezview.wa.gov/site/alias__1965/37121/default.aspx</w:t>
        </w:r>
      </w:hyperlink>
      <w:r w:rsidR="002A54C1">
        <w:br/>
      </w:r>
      <w:r w:rsidRPr="00B75AB0">
        <w:rPr>
          <w:rStyle w:val="Heading2Char"/>
        </w:rPr>
        <w:t>Next steps</w:t>
      </w:r>
    </w:p>
    <w:p w14:paraId="5519B41C" w14:textId="77777777" w:rsidR="008A6EE9" w:rsidRDefault="008A6EE9" w:rsidP="008A6EE9">
      <w:pPr>
        <w:pStyle w:val="ListParagraph"/>
        <w:numPr>
          <w:ilvl w:val="0"/>
          <w:numId w:val="2"/>
        </w:numPr>
      </w:pPr>
      <w:r>
        <w:t>Commerce will do a doodle poll and schedule another meeting in about a month.</w:t>
      </w:r>
    </w:p>
    <w:p w14:paraId="561F6C6A" w14:textId="77777777" w:rsidR="008A6EE9" w:rsidRDefault="008A6EE9" w:rsidP="008A6EE9">
      <w:pPr>
        <w:pStyle w:val="ListParagraph"/>
        <w:numPr>
          <w:ilvl w:val="0"/>
          <w:numId w:val="2"/>
        </w:numPr>
      </w:pPr>
      <w:r>
        <w:t>The next meeting will focus on narrowing the scope of the project. We may bring in speakers from each of the audience sectors.</w:t>
      </w:r>
    </w:p>
    <w:p w14:paraId="1E3EDB7B" w14:textId="2F989B14" w:rsidR="00F86518" w:rsidRPr="009963B0" w:rsidRDefault="00F86518" w:rsidP="00B75799">
      <w:pPr>
        <w:pStyle w:val="Heading2"/>
      </w:pPr>
      <w:r w:rsidRPr="009963B0">
        <w:t xml:space="preserve">Requests </w:t>
      </w:r>
      <w:r w:rsidR="002D3787" w:rsidRPr="009963B0">
        <w:t xml:space="preserve">for </w:t>
      </w:r>
      <w:r w:rsidRPr="009963B0">
        <w:t>Committee</w:t>
      </w:r>
      <w:r w:rsidR="002D3787" w:rsidRPr="009963B0">
        <w:t xml:space="preserve"> members</w:t>
      </w:r>
      <w:r w:rsidR="0027195E">
        <w:t>:</w:t>
      </w:r>
    </w:p>
    <w:p w14:paraId="099DFCEF" w14:textId="5F8FFB9C" w:rsidR="00B7296C" w:rsidRDefault="00B7296C" w:rsidP="009963B0">
      <w:pPr>
        <w:pStyle w:val="ListParagraph"/>
        <w:numPr>
          <w:ilvl w:val="0"/>
          <w:numId w:val="24"/>
        </w:numPr>
      </w:pPr>
      <w:r>
        <w:t>Suggestion for speakers for next meeting (needed within the week).</w:t>
      </w:r>
    </w:p>
    <w:p w14:paraId="6C76B9EC" w14:textId="62081EB7" w:rsidR="00C66347" w:rsidRDefault="00F86518" w:rsidP="009963B0">
      <w:pPr>
        <w:pStyle w:val="ListParagraph"/>
        <w:numPr>
          <w:ilvl w:val="0"/>
          <w:numId w:val="24"/>
        </w:numPr>
      </w:pPr>
      <w:r>
        <w:t>Case Examples of successes or impediments</w:t>
      </w:r>
      <w:r w:rsidR="002D3787">
        <w:t xml:space="preserve"> (needed over next few months)</w:t>
      </w:r>
      <w:r>
        <w:t>.</w:t>
      </w:r>
    </w:p>
    <w:p w14:paraId="21C79470" w14:textId="31B46BAF" w:rsidR="00FD4251" w:rsidRDefault="00F86518" w:rsidP="009963B0">
      <w:pPr>
        <w:pStyle w:val="ListParagraph"/>
        <w:numPr>
          <w:ilvl w:val="0"/>
          <w:numId w:val="24"/>
        </w:numPr>
      </w:pPr>
      <w:r>
        <w:t>Literature on social marketing associated with doing this type of work with developers, municipalities and/or community groups</w:t>
      </w:r>
      <w:r w:rsidR="002D3787">
        <w:t xml:space="preserve"> (needed by Dec 31)</w:t>
      </w:r>
      <w:r>
        <w:t>.</w:t>
      </w:r>
    </w:p>
    <w:p w14:paraId="7193F482" w14:textId="58F1E05F" w:rsidR="00B7296C" w:rsidRDefault="00B7296C" w:rsidP="009963B0">
      <w:pPr>
        <w:pStyle w:val="ListParagraph"/>
        <w:numPr>
          <w:ilvl w:val="0"/>
          <w:numId w:val="24"/>
        </w:numPr>
      </w:pPr>
      <w:r>
        <w:t>Suggestions for other advisory committee members from transportation</w:t>
      </w:r>
      <w:r w:rsidR="00BA6727">
        <w:t>, developers,</w:t>
      </w:r>
      <w:r>
        <w:t xml:space="preserve"> and possibly community groups.</w:t>
      </w:r>
    </w:p>
    <w:p w14:paraId="008BF8A2" w14:textId="30395570" w:rsidR="00FD4251" w:rsidRDefault="00FD4251">
      <w:pPr>
        <w:spacing w:after="160" w:line="259" w:lineRule="auto"/>
      </w:pPr>
    </w:p>
    <w:p w14:paraId="16211C69" w14:textId="77777777" w:rsidR="00FD4251" w:rsidRPr="00096061" w:rsidRDefault="00FD4251" w:rsidP="00FD4251">
      <w:pPr>
        <w:pStyle w:val="Heading1"/>
        <w:spacing w:before="120" w:line="240" w:lineRule="auto"/>
        <w:jc w:val="center"/>
        <w:rPr>
          <w:b/>
          <w:sz w:val="40"/>
        </w:rPr>
      </w:pPr>
      <w:r w:rsidRPr="00096061">
        <w:rPr>
          <w:b/>
          <w:sz w:val="40"/>
        </w:rPr>
        <w:t>Building Green Cities</w:t>
      </w:r>
    </w:p>
    <w:p w14:paraId="0F4B96E7" w14:textId="77777777" w:rsidR="00FD4251" w:rsidRDefault="00FD4251" w:rsidP="00FD4251">
      <w:pPr>
        <w:pStyle w:val="Heading1"/>
        <w:spacing w:before="120" w:line="240" w:lineRule="auto"/>
        <w:jc w:val="center"/>
        <w:rPr>
          <w:b/>
          <w:sz w:val="40"/>
        </w:rPr>
      </w:pPr>
      <w:r w:rsidRPr="00096061">
        <w:rPr>
          <w:b/>
          <w:sz w:val="40"/>
        </w:rPr>
        <w:t>Advisory Committee Kickoff Meeting</w:t>
      </w:r>
    </w:p>
    <w:p w14:paraId="61E8DC94" w14:textId="77777777" w:rsidR="00FD4251" w:rsidRPr="009D7EF1" w:rsidRDefault="00FD4251" w:rsidP="00FD4251"/>
    <w:p w14:paraId="3D63109A" w14:textId="77777777" w:rsidR="00FD4251" w:rsidRPr="008C492A" w:rsidRDefault="00FD4251" w:rsidP="00FD4251">
      <w:pPr>
        <w:jc w:val="center"/>
        <w:rPr>
          <w:sz w:val="28"/>
          <w:szCs w:val="28"/>
        </w:rPr>
      </w:pPr>
      <w:r w:rsidRPr="008C492A">
        <w:rPr>
          <w:sz w:val="28"/>
          <w:szCs w:val="28"/>
        </w:rPr>
        <w:t>October 24</w:t>
      </w:r>
      <w:r>
        <w:rPr>
          <w:sz w:val="28"/>
          <w:szCs w:val="28"/>
        </w:rPr>
        <w:t>, 2017</w:t>
      </w:r>
      <w:r w:rsidRPr="008C492A">
        <w:rPr>
          <w:sz w:val="28"/>
          <w:szCs w:val="28"/>
        </w:rPr>
        <w:t xml:space="preserve"> </w:t>
      </w:r>
      <w:r w:rsidRPr="008C492A">
        <w:rPr>
          <w:sz w:val="28"/>
          <w:szCs w:val="28"/>
        </w:rPr>
        <w:tab/>
        <w:t>10:00 am - 12:30pm</w:t>
      </w:r>
    </w:p>
    <w:p w14:paraId="1C80C0EF" w14:textId="77777777" w:rsidR="00FD4251" w:rsidRPr="008C492A" w:rsidRDefault="00FD4251" w:rsidP="00FD4251">
      <w:pPr>
        <w:jc w:val="center"/>
        <w:rPr>
          <w:sz w:val="28"/>
          <w:szCs w:val="28"/>
        </w:rPr>
      </w:pPr>
      <w:r w:rsidRPr="008C492A">
        <w:rPr>
          <w:sz w:val="28"/>
          <w:szCs w:val="28"/>
        </w:rPr>
        <w:t>Puget Sound Regional Council Offices</w:t>
      </w:r>
    </w:p>
    <w:p w14:paraId="12765443" w14:textId="5B2A8DC7" w:rsidR="00FD4251" w:rsidRPr="008C492A" w:rsidRDefault="00FD4251" w:rsidP="00FD4251">
      <w:pPr>
        <w:jc w:val="center"/>
        <w:rPr>
          <w:sz w:val="28"/>
          <w:szCs w:val="28"/>
        </w:rPr>
      </w:pPr>
      <w:r w:rsidRPr="008C492A">
        <w:rPr>
          <w:sz w:val="28"/>
          <w:szCs w:val="28"/>
        </w:rPr>
        <w:t>Waterfront Place Building, 1</w:t>
      </w:r>
      <w:r>
        <w:rPr>
          <w:sz w:val="28"/>
          <w:szCs w:val="28"/>
        </w:rPr>
        <w:t>01</w:t>
      </w:r>
      <w:r w:rsidRPr="008C492A">
        <w:rPr>
          <w:sz w:val="28"/>
          <w:szCs w:val="28"/>
        </w:rPr>
        <w:t>1 Western Avenue, Suite 500, Seattle, WA</w:t>
      </w:r>
    </w:p>
    <w:p w14:paraId="608B5419" w14:textId="77777777" w:rsidR="00FD4251" w:rsidRDefault="00FD4251" w:rsidP="00FD4251">
      <w:pPr>
        <w:jc w:val="center"/>
        <w:rPr>
          <w:sz w:val="28"/>
          <w:szCs w:val="28"/>
        </w:rPr>
      </w:pPr>
      <w:r w:rsidRPr="00B61DAF">
        <w:rPr>
          <w:rFonts w:asciiTheme="majorHAnsi" w:hAnsiTheme="majorHAnsi"/>
          <w:sz w:val="20"/>
        </w:rPr>
        <w:t xml:space="preserve">Directions &amp; Transportation information: </w:t>
      </w:r>
      <w:hyperlink r:id="rId11" w:history="1">
        <w:r w:rsidRPr="00526CBC">
          <w:rPr>
            <w:rStyle w:val="Hyperlink"/>
            <w:sz w:val="24"/>
            <w:szCs w:val="28"/>
          </w:rPr>
          <w:t>https://www.psrc.org/contact-center/directions</w:t>
        </w:r>
      </w:hyperlink>
    </w:p>
    <w:p w14:paraId="5C26210A" w14:textId="77777777" w:rsidR="00FD4251" w:rsidRPr="00B61DAF" w:rsidRDefault="00FD4251" w:rsidP="00FD4251">
      <w:pPr>
        <w:jc w:val="center"/>
        <w:rPr>
          <w:rStyle w:val="Hyperlink"/>
          <w:sz w:val="24"/>
          <w:szCs w:val="28"/>
        </w:rPr>
      </w:pPr>
      <w:r w:rsidRPr="00B61DAF">
        <w:rPr>
          <w:rStyle w:val="Hyperlink"/>
          <w:sz w:val="24"/>
          <w:szCs w:val="28"/>
        </w:rPr>
        <w:t>Light Refreshments will be served</w:t>
      </w:r>
    </w:p>
    <w:p w14:paraId="3DCE744B" w14:textId="77777777" w:rsidR="00FD4251" w:rsidRDefault="00FD4251" w:rsidP="00FD4251">
      <w:pPr>
        <w:jc w:val="center"/>
        <w:rPr>
          <w:sz w:val="28"/>
          <w:szCs w:val="28"/>
        </w:rPr>
      </w:pPr>
    </w:p>
    <w:p w14:paraId="34503E29" w14:textId="77777777" w:rsidR="00FD4251" w:rsidRPr="00096061" w:rsidRDefault="00FD4251" w:rsidP="00FD4251">
      <w:pPr>
        <w:jc w:val="center"/>
        <w:rPr>
          <w:sz w:val="28"/>
          <w:szCs w:val="28"/>
        </w:rPr>
      </w:pPr>
    </w:p>
    <w:p w14:paraId="056D675E" w14:textId="77777777" w:rsidR="00FD4251" w:rsidRPr="008C492A" w:rsidRDefault="00FD4251" w:rsidP="00FD4251">
      <w:pPr>
        <w:pStyle w:val="Heading2"/>
      </w:pPr>
      <w:r w:rsidRPr="008C492A">
        <w:t>Welcome</w:t>
      </w:r>
      <w:r w:rsidRPr="008C492A">
        <w:tab/>
      </w:r>
      <w:r w:rsidRPr="008C492A">
        <w:tab/>
      </w:r>
      <w:r>
        <w:tab/>
        <w:t>Charlene Andrade</w:t>
      </w:r>
      <w:r>
        <w:tab/>
      </w:r>
      <w:r>
        <w:tab/>
        <w:t xml:space="preserve">        </w:t>
      </w:r>
      <w:r>
        <w:tab/>
      </w:r>
      <w:r>
        <w:tab/>
      </w:r>
      <w:r>
        <w:tab/>
        <w:t>10:00 - 10:</w:t>
      </w:r>
      <w:r w:rsidRPr="008C492A">
        <w:t xml:space="preserve">20 </w:t>
      </w:r>
    </w:p>
    <w:p w14:paraId="512324AA" w14:textId="77777777" w:rsidR="00FD4251" w:rsidRPr="00096061" w:rsidRDefault="00FD4251" w:rsidP="00FD4251">
      <w:pPr>
        <w:ind w:firstLine="720"/>
        <w:rPr>
          <w:sz w:val="24"/>
          <w:szCs w:val="28"/>
        </w:rPr>
      </w:pPr>
      <w:r w:rsidRPr="00096061">
        <w:rPr>
          <w:sz w:val="24"/>
          <w:szCs w:val="28"/>
        </w:rPr>
        <w:t>Review Agenda, Meeting Goals &amp; Objectives</w:t>
      </w:r>
    </w:p>
    <w:p w14:paraId="4C426B58" w14:textId="77777777" w:rsidR="00FD4251" w:rsidRDefault="00FD4251" w:rsidP="00FD4251">
      <w:pPr>
        <w:rPr>
          <w:sz w:val="28"/>
          <w:szCs w:val="28"/>
        </w:rPr>
      </w:pPr>
    </w:p>
    <w:p w14:paraId="2B1CE3CA" w14:textId="77777777" w:rsidR="00FD4251" w:rsidRPr="008C492A" w:rsidRDefault="00FD4251" w:rsidP="00FD4251">
      <w:pPr>
        <w:rPr>
          <w:sz w:val="28"/>
          <w:szCs w:val="28"/>
        </w:rPr>
      </w:pPr>
    </w:p>
    <w:p w14:paraId="0E5B878A" w14:textId="77777777" w:rsidR="00FD4251" w:rsidRPr="008C492A" w:rsidRDefault="00FD4251" w:rsidP="00FD4251">
      <w:pPr>
        <w:pStyle w:val="Heading2"/>
      </w:pPr>
      <w:r w:rsidRPr="008C492A">
        <w:t xml:space="preserve">Advisory Committee Introductions </w:t>
      </w:r>
      <w:r>
        <w:t xml:space="preserve">    </w:t>
      </w:r>
      <w:r>
        <w:tab/>
        <w:t xml:space="preserve">Charlene Andrade        </w:t>
      </w:r>
      <w:r>
        <w:tab/>
      </w:r>
      <w:r>
        <w:tab/>
        <w:t>10:20 - 10:50</w:t>
      </w:r>
    </w:p>
    <w:p w14:paraId="686B73B9" w14:textId="77777777" w:rsidR="00FD4251" w:rsidRDefault="00FD4251" w:rsidP="00FD4251">
      <w:pPr>
        <w:pStyle w:val="ListParagraph"/>
        <w:ind w:left="1440"/>
        <w:rPr>
          <w:sz w:val="28"/>
          <w:szCs w:val="28"/>
        </w:rPr>
      </w:pPr>
    </w:p>
    <w:p w14:paraId="7D43820E" w14:textId="77777777" w:rsidR="00FD4251" w:rsidRPr="008C492A" w:rsidRDefault="00FD4251" w:rsidP="00FD4251">
      <w:pPr>
        <w:pStyle w:val="ListParagraph"/>
        <w:ind w:left="1440"/>
        <w:rPr>
          <w:sz w:val="28"/>
          <w:szCs w:val="28"/>
        </w:rPr>
      </w:pPr>
    </w:p>
    <w:p w14:paraId="21E14AF9" w14:textId="77777777" w:rsidR="00FD4251" w:rsidRPr="008C492A" w:rsidRDefault="00FD4251" w:rsidP="00FD4251">
      <w:pPr>
        <w:pStyle w:val="Heading2"/>
      </w:pPr>
      <w:r w:rsidRPr="008C492A">
        <w:t xml:space="preserve">Project Goals &amp; </w:t>
      </w:r>
      <w:r>
        <w:t xml:space="preserve">Committee Participation      Heather Ballash &amp; Erika Harris </w:t>
      </w:r>
      <w:r>
        <w:tab/>
        <w:t>10:50 – 11:30</w:t>
      </w:r>
    </w:p>
    <w:p w14:paraId="5B05FDE9" w14:textId="77777777" w:rsidR="00FD4251" w:rsidRPr="00096061" w:rsidRDefault="00FD4251" w:rsidP="00FD4251">
      <w:pPr>
        <w:ind w:left="720"/>
        <w:rPr>
          <w:sz w:val="24"/>
          <w:szCs w:val="24"/>
        </w:rPr>
      </w:pPr>
      <w:r w:rsidRPr="00096061">
        <w:rPr>
          <w:sz w:val="24"/>
          <w:szCs w:val="24"/>
        </w:rPr>
        <w:t xml:space="preserve">Project Elements, </w:t>
      </w:r>
      <w:r>
        <w:rPr>
          <w:sz w:val="24"/>
          <w:szCs w:val="24"/>
        </w:rPr>
        <w:t xml:space="preserve">Committee Participation, </w:t>
      </w:r>
      <w:r w:rsidRPr="00096061">
        <w:rPr>
          <w:sz w:val="24"/>
          <w:szCs w:val="24"/>
        </w:rPr>
        <w:t>Timelines, Products</w:t>
      </w:r>
      <w:r w:rsidRPr="00096061">
        <w:rPr>
          <w:sz w:val="24"/>
          <w:szCs w:val="24"/>
        </w:rPr>
        <w:br/>
      </w:r>
    </w:p>
    <w:p w14:paraId="0FEAAA1D" w14:textId="77777777" w:rsidR="00FD4251" w:rsidRDefault="00FD4251" w:rsidP="00FD4251">
      <w:pPr>
        <w:pStyle w:val="Heading2"/>
      </w:pPr>
      <w:r w:rsidRPr="009E5459">
        <w:t>Social Marketing Presentation/Discussion</w:t>
      </w:r>
      <w:r w:rsidRPr="009E5459">
        <w:tab/>
      </w:r>
      <w:r>
        <w:tab/>
      </w:r>
      <w:r>
        <w:tab/>
        <w:t xml:space="preserve">         </w:t>
      </w:r>
      <w:r>
        <w:tab/>
      </w:r>
      <w:r>
        <w:tab/>
      </w:r>
      <w:r>
        <w:tab/>
        <w:t>11:30 – 12:00</w:t>
      </w:r>
    </w:p>
    <w:p w14:paraId="388CE58A" w14:textId="77777777" w:rsidR="00FD4251" w:rsidRPr="00096061" w:rsidRDefault="00FD4251" w:rsidP="00FD4251">
      <w:pPr>
        <w:jc w:val="center"/>
        <w:rPr>
          <w:sz w:val="24"/>
          <w:szCs w:val="28"/>
        </w:rPr>
      </w:pPr>
      <w:r w:rsidRPr="00096061">
        <w:rPr>
          <w:sz w:val="24"/>
          <w:szCs w:val="28"/>
        </w:rPr>
        <w:t>“</w:t>
      </w:r>
      <w:r>
        <w:rPr>
          <w:sz w:val="24"/>
          <w:szCs w:val="28"/>
        </w:rPr>
        <w:t>Selling Green Cities: a Model for Persuasion”</w:t>
      </w:r>
      <w:r w:rsidRPr="00096061">
        <w:rPr>
          <w:sz w:val="24"/>
          <w:szCs w:val="28"/>
        </w:rPr>
        <w:br/>
        <w:t xml:space="preserve">Heidi Siegelbaum, </w:t>
      </w:r>
      <w:r>
        <w:rPr>
          <w:sz w:val="24"/>
          <w:szCs w:val="28"/>
        </w:rPr>
        <w:t xml:space="preserve">Washington State University, </w:t>
      </w:r>
      <w:r w:rsidRPr="00096061">
        <w:rPr>
          <w:sz w:val="24"/>
          <w:szCs w:val="28"/>
        </w:rPr>
        <w:t>Stormwater Center</w:t>
      </w:r>
    </w:p>
    <w:p w14:paraId="104EB228" w14:textId="77777777" w:rsidR="00FD4251" w:rsidRDefault="00FD4251" w:rsidP="00FD4251">
      <w:pPr>
        <w:pStyle w:val="Heading2"/>
        <w:rPr>
          <w:sz w:val="28"/>
          <w:szCs w:val="28"/>
        </w:rPr>
      </w:pPr>
    </w:p>
    <w:p w14:paraId="361565E6" w14:textId="77777777" w:rsidR="00FD4251" w:rsidRPr="008C492A" w:rsidRDefault="00FD4251" w:rsidP="00FD4251">
      <w:pPr>
        <w:pStyle w:val="Heading2"/>
      </w:pPr>
      <w:r>
        <w:rPr>
          <w:sz w:val="28"/>
          <w:szCs w:val="28"/>
        </w:rPr>
        <w:br/>
      </w:r>
      <w:r>
        <w:t>Literature Review</w:t>
      </w:r>
      <w:r>
        <w:tab/>
      </w:r>
      <w:r>
        <w:tab/>
        <w:t>Linda Bentley</w:t>
      </w:r>
      <w:r>
        <w:tab/>
      </w:r>
      <w:r>
        <w:tab/>
      </w:r>
      <w:r>
        <w:tab/>
        <w:t xml:space="preserve">         </w:t>
      </w:r>
      <w:r>
        <w:tab/>
      </w:r>
      <w:r>
        <w:tab/>
      </w:r>
      <w:r>
        <w:tab/>
        <w:t>12:00 – 12:10</w:t>
      </w:r>
    </w:p>
    <w:p w14:paraId="6DF2F953" w14:textId="77777777" w:rsidR="00FD4251" w:rsidRDefault="00FD4251" w:rsidP="00FD4251">
      <w:pPr>
        <w:ind w:left="1440"/>
        <w:rPr>
          <w:sz w:val="28"/>
          <w:szCs w:val="28"/>
        </w:rPr>
      </w:pPr>
    </w:p>
    <w:p w14:paraId="1D53DE04" w14:textId="77777777" w:rsidR="00FD4251" w:rsidRDefault="00FD4251" w:rsidP="00FD4251">
      <w:pPr>
        <w:ind w:left="1440"/>
        <w:rPr>
          <w:sz w:val="28"/>
          <w:szCs w:val="28"/>
        </w:rPr>
      </w:pPr>
    </w:p>
    <w:p w14:paraId="3578F27B" w14:textId="77777777" w:rsidR="00FD4251" w:rsidRDefault="00FD4251" w:rsidP="00FD4251">
      <w:pPr>
        <w:pStyle w:val="Heading2"/>
        <w:rPr>
          <w:color w:val="7030A0"/>
        </w:rPr>
      </w:pPr>
      <w:r w:rsidRPr="009E5459">
        <w:t>Next Steps</w:t>
      </w:r>
      <w:r w:rsidRPr="00096061">
        <w:tab/>
      </w:r>
      <w:r w:rsidRPr="00096061">
        <w:tab/>
      </w:r>
      <w:r>
        <w:tab/>
      </w:r>
      <w:r w:rsidRPr="00096061">
        <w:t>Charlene Andrade</w:t>
      </w:r>
      <w:r>
        <w:tab/>
      </w:r>
      <w:r>
        <w:tab/>
      </w:r>
      <w:r>
        <w:tab/>
      </w:r>
      <w:r>
        <w:tab/>
      </w:r>
      <w:r>
        <w:tab/>
      </w:r>
      <w:r w:rsidRPr="00096061">
        <w:t>12:10 – 12:30</w:t>
      </w:r>
    </w:p>
    <w:p w14:paraId="7BFB26E8" w14:textId="77777777" w:rsidR="00FD4251" w:rsidRDefault="00FD4251" w:rsidP="00FD4251">
      <w:pPr>
        <w:rPr>
          <w:rStyle w:val="Hyperlink"/>
          <w:sz w:val="28"/>
          <w:szCs w:val="28"/>
        </w:rPr>
      </w:pPr>
      <w:r>
        <w:rPr>
          <w:rStyle w:val="Hyperlink"/>
          <w:sz w:val="28"/>
          <w:szCs w:val="28"/>
        </w:rPr>
        <w:br w:type="page"/>
      </w:r>
    </w:p>
    <w:p w14:paraId="3076648A" w14:textId="16C05ACF" w:rsidR="00FD4251" w:rsidRDefault="00FD4251">
      <w:pPr>
        <w:spacing w:after="160" w:line="259" w:lineRule="auto"/>
      </w:pPr>
    </w:p>
    <w:p w14:paraId="65DE9B7E" w14:textId="77777777" w:rsidR="00FD4251" w:rsidRDefault="00FD4251" w:rsidP="00FD4251">
      <w:pPr>
        <w:pStyle w:val="Heading1"/>
        <w:jc w:val="center"/>
      </w:pPr>
      <w:r>
        <w:t>Building Green Cities</w:t>
      </w:r>
      <w:r>
        <w:br/>
        <w:t>Advisory Committee</w:t>
      </w:r>
    </w:p>
    <w:p w14:paraId="28002E21" w14:textId="77777777" w:rsidR="00FD4251" w:rsidRDefault="00FD4251" w:rsidP="00FD4251">
      <w:pPr>
        <w:rPr>
          <w:sz w:val="28"/>
          <w:szCs w:val="28"/>
        </w:rPr>
      </w:pPr>
    </w:p>
    <w:tbl>
      <w:tblPr>
        <w:tblW w:w="8820" w:type="dxa"/>
        <w:tblInd w:w="540" w:type="dxa"/>
        <w:tblLook w:val="04A0" w:firstRow="1" w:lastRow="0" w:firstColumn="1" w:lastColumn="0" w:noHBand="0" w:noVBand="1"/>
      </w:tblPr>
      <w:tblGrid>
        <w:gridCol w:w="2932"/>
        <w:gridCol w:w="580"/>
        <w:gridCol w:w="5308"/>
      </w:tblGrid>
      <w:tr w:rsidR="00FD4251" w:rsidRPr="006C399B" w14:paraId="6C90E8ED" w14:textId="77777777" w:rsidTr="00FD4251">
        <w:trPr>
          <w:trHeight w:val="300"/>
        </w:trPr>
        <w:tc>
          <w:tcPr>
            <w:tcW w:w="2932" w:type="dxa"/>
            <w:tcBorders>
              <w:top w:val="nil"/>
              <w:left w:val="nil"/>
              <w:bottom w:val="nil"/>
              <w:right w:val="nil"/>
            </w:tcBorders>
            <w:shd w:val="clear" w:color="auto" w:fill="auto"/>
            <w:noWrap/>
            <w:vAlign w:val="bottom"/>
            <w:hideMark/>
          </w:tcPr>
          <w:p w14:paraId="29F67D69" w14:textId="77777777" w:rsidR="00FD4251" w:rsidRPr="006C399B" w:rsidRDefault="00FD4251" w:rsidP="00FD4251">
            <w:pPr>
              <w:pStyle w:val="Heading1"/>
              <w:rPr>
                <w:rFonts w:eastAsia="Times New Roman"/>
                <w:sz w:val="28"/>
              </w:rPr>
            </w:pPr>
            <w:r w:rsidRPr="006C399B">
              <w:rPr>
                <w:rFonts w:eastAsia="Times New Roman"/>
                <w:sz w:val="28"/>
              </w:rPr>
              <w:t xml:space="preserve">Mindy Roberts                                       </w:t>
            </w:r>
          </w:p>
        </w:tc>
        <w:tc>
          <w:tcPr>
            <w:tcW w:w="580" w:type="dxa"/>
            <w:tcBorders>
              <w:top w:val="nil"/>
              <w:left w:val="nil"/>
              <w:bottom w:val="nil"/>
              <w:right w:val="nil"/>
            </w:tcBorders>
            <w:shd w:val="clear" w:color="auto" w:fill="auto"/>
            <w:noWrap/>
            <w:vAlign w:val="bottom"/>
            <w:hideMark/>
          </w:tcPr>
          <w:p w14:paraId="7035DB51"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5D2B98C7" w14:textId="77777777" w:rsidR="00FD4251" w:rsidRPr="006C399B" w:rsidRDefault="00FD4251" w:rsidP="00FD4251">
            <w:pPr>
              <w:pStyle w:val="Heading1"/>
              <w:rPr>
                <w:rFonts w:eastAsia="Times New Roman"/>
                <w:sz w:val="28"/>
              </w:rPr>
            </w:pPr>
            <w:r w:rsidRPr="006C399B">
              <w:rPr>
                <w:rFonts w:eastAsia="Times New Roman"/>
                <w:sz w:val="28"/>
              </w:rPr>
              <w:t>Washington Environmental Council</w:t>
            </w:r>
          </w:p>
        </w:tc>
      </w:tr>
      <w:tr w:rsidR="00FD4251" w:rsidRPr="006C399B" w14:paraId="586AE800" w14:textId="77777777" w:rsidTr="00FD4251">
        <w:trPr>
          <w:trHeight w:val="300"/>
        </w:trPr>
        <w:tc>
          <w:tcPr>
            <w:tcW w:w="2932" w:type="dxa"/>
            <w:tcBorders>
              <w:top w:val="nil"/>
              <w:left w:val="nil"/>
              <w:bottom w:val="nil"/>
              <w:right w:val="nil"/>
            </w:tcBorders>
            <w:shd w:val="clear" w:color="auto" w:fill="auto"/>
            <w:noWrap/>
            <w:vAlign w:val="bottom"/>
            <w:hideMark/>
          </w:tcPr>
          <w:p w14:paraId="0E44B5C0" w14:textId="77777777" w:rsidR="00FD4251" w:rsidRPr="006C399B" w:rsidRDefault="00FD4251" w:rsidP="00FD4251">
            <w:pPr>
              <w:pStyle w:val="Heading1"/>
              <w:rPr>
                <w:rFonts w:eastAsia="Times New Roman"/>
                <w:sz w:val="28"/>
              </w:rPr>
            </w:pPr>
            <w:r w:rsidRPr="006C399B">
              <w:rPr>
                <w:rFonts w:eastAsia="Times New Roman"/>
                <w:sz w:val="28"/>
              </w:rPr>
              <w:t>Paul Crane</w:t>
            </w:r>
          </w:p>
        </w:tc>
        <w:tc>
          <w:tcPr>
            <w:tcW w:w="580" w:type="dxa"/>
            <w:tcBorders>
              <w:top w:val="nil"/>
              <w:left w:val="nil"/>
              <w:bottom w:val="nil"/>
              <w:right w:val="nil"/>
            </w:tcBorders>
            <w:shd w:val="clear" w:color="auto" w:fill="auto"/>
            <w:noWrap/>
            <w:vAlign w:val="bottom"/>
            <w:hideMark/>
          </w:tcPr>
          <w:p w14:paraId="7CFD3EB8"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1A5C0CFC" w14:textId="77777777" w:rsidR="00FD4251" w:rsidRPr="006C399B" w:rsidRDefault="00FD4251" w:rsidP="00FD4251">
            <w:pPr>
              <w:pStyle w:val="Heading1"/>
              <w:rPr>
                <w:rFonts w:eastAsia="Times New Roman"/>
                <w:sz w:val="28"/>
              </w:rPr>
            </w:pPr>
            <w:r>
              <w:rPr>
                <w:rFonts w:eastAsia="Times New Roman"/>
                <w:sz w:val="28"/>
              </w:rPr>
              <w:t>City of Everett</w:t>
            </w:r>
          </w:p>
        </w:tc>
      </w:tr>
      <w:tr w:rsidR="00FD4251" w:rsidRPr="006C399B" w14:paraId="7E1D8FE9" w14:textId="77777777" w:rsidTr="00FD4251">
        <w:trPr>
          <w:trHeight w:val="300"/>
        </w:trPr>
        <w:tc>
          <w:tcPr>
            <w:tcW w:w="2932" w:type="dxa"/>
            <w:tcBorders>
              <w:top w:val="nil"/>
              <w:left w:val="nil"/>
              <w:bottom w:val="nil"/>
              <w:right w:val="nil"/>
            </w:tcBorders>
            <w:shd w:val="clear" w:color="auto" w:fill="auto"/>
            <w:noWrap/>
            <w:vAlign w:val="bottom"/>
            <w:hideMark/>
          </w:tcPr>
          <w:p w14:paraId="18533AA5" w14:textId="77777777" w:rsidR="00FD4251" w:rsidRPr="006C399B" w:rsidRDefault="00FD4251" w:rsidP="00FD4251">
            <w:pPr>
              <w:pStyle w:val="Heading1"/>
              <w:rPr>
                <w:rFonts w:eastAsia="Times New Roman"/>
                <w:sz w:val="28"/>
              </w:rPr>
            </w:pPr>
            <w:r w:rsidRPr="006C399B">
              <w:rPr>
                <w:rFonts w:eastAsia="Times New Roman"/>
                <w:sz w:val="28"/>
              </w:rPr>
              <w:t xml:space="preserve">Peg </w:t>
            </w:r>
            <w:proofErr w:type="spellStart"/>
            <w:r w:rsidRPr="006C399B">
              <w:rPr>
                <w:rFonts w:eastAsia="Times New Roman"/>
                <w:sz w:val="28"/>
              </w:rPr>
              <w:t>Staheli</w:t>
            </w:r>
            <w:proofErr w:type="spellEnd"/>
          </w:p>
        </w:tc>
        <w:tc>
          <w:tcPr>
            <w:tcW w:w="580" w:type="dxa"/>
            <w:tcBorders>
              <w:top w:val="nil"/>
              <w:left w:val="nil"/>
              <w:bottom w:val="nil"/>
              <w:right w:val="nil"/>
            </w:tcBorders>
            <w:shd w:val="clear" w:color="auto" w:fill="auto"/>
            <w:noWrap/>
            <w:vAlign w:val="bottom"/>
            <w:hideMark/>
          </w:tcPr>
          <w:p w14:paraId="4BFD7BF8"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5689C37E" w14:textId="77777777" w:rsidR="00FD4251" w:rsidRPr="006C399B" w:rsidRDefault="00FD4251" w:rsidP="00FD4251">
            <w:pPr>
              <w:pStyle w:val="Heading1"/>
              <w:rPr>
                <w:rFonts w:eastAsia="Times New Roman"/>
                <w:sz w:val="28"/>
              </w:rPr>
            </w:pPr>
            <w:r w:rsidRPr="006C399B">
              <w:rPr>
                <w:rFonts w:eastAsia="Times New Roman"/>
                <w:sz w:val="28"/>
              </w:rPr>
              <w:t>MIG/</w:t>
            </w:r>
            <w:proofErr w:type="spellStart"/>
            <w:r w:rsidRPr="006C399B">
              <w:rPr>
                <w:rFonts w:eastAsia="Times New Roman"/>
                <w:sz w:val="28"/>
              </w:rPr>
              <w:t>SvR</w:t>
            </w:r>
            <w:proofErr w:type="spellEnd"/>
            <w:r w:rsidRPr="006C399B">
              <w:rPr>
                <w:rFonts w:eastAsia="Times New Roman"/>
                <w:sz w:val="28"/>
              </w:rPr>
              <w:t xml:space="preserve"> Consulting</w:t>
            </w:r>
          </w:p>
        </w:tc>
      </w:tr>
      <w:tr w:rsidR="00FD4251" w:rsidRPr="006C399B" w14:paraId="4484B65F" w14:textId="77777777" w:rsidTr="00FD4251">
        <w:trPr>
          <w:trHeight w:val="300"/>
        </w:trPr>
        <w:tc>
          <w:tcPr>
            <w:tcW w:w="2932" w:type="dxa"/>
            <w:tcBorders>
              <w:top w:val="nil"/>
              <w:left w:val="nil"/>
              <w:bottom w:val="nil"/>
              <w:right w:val="nil"/>
            </w:tcBorders>
            <w:shd w:val="clear" w:color="auto" w:fill="auto"/>
            <w:noWrap/>
            <w:vAlign w:val="bottom"/>
            <w:hideMark/>
          </w:tcPr>
          <w:p w14:paraId="4F26E75D" w14:textId="77777777" w:rsidR="00FD4251" w:rsidRPr="006C399B" w:rsidRDefault="00FD4251" w:rsidP="00FD4251">
            <w:pPr>
              <w:pStyle w:val="Heading1"/>
              <w:rPr>
                <w:rFonts w:eastAsia="Times New Roman"/>
                <w:sz w:val="28"/>
              </w:rPr>
            </w:pPr>
            <w:r w:rsidRPr="006C399B">
              <w:rPr>
                <w:rFonts w:eastAsia="Times New Roman"/>
                <w:sz w:val="28"/>
              </w:rPr>
              <w:t>Micki McNaughton</w:t>
            </w:r>
          </w:p>
        </w:tc>
        <w:tc>
          <w:tcPr>
            <w:tcW w:w="580" w:type="dxa"/>
            <w:tcBorders>
              <w:top w:val="nil"/>
              <w:left w:val="nil"/>
              <w:bottom w:val="nil"/>
              <w:right w:val="nil"/>
            </w:tcBorders>
            <w:shd w:val="clear" w:color="auto" w:fill="auto"/>
            <w:noWrap/>
            <w:vAlign w:val="bottom"/>
            <w:hideMark/>
          </w:tcPr>
          <w:p w14:paraId="2286AF3B"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23FD391C" w14:textId="77777777" w:rsidR="00FD4251" w:rsidRPr="006C399B" w:rsidRDefault="00FD4251" w:rsidP="00FD4251">
            <w:pPr>
              <w:pStyle w:val="Heading1"/>
              <w:rPr>
                <w:rFonts w:eastAsia="Times New Roman"/>
                <w:sz w:val="28"/>
              </w:rPr>
            </w:pPr>
            <w:r w:rsidRPr="006C399B">
              <w:rPr>
                <w:rFonts w:eastAsia="Times New Roman"/>
                <w:sz w:val="28"/>
              </w:rPr>
              <w:t>Consulting</w:t>
            </w:r>
          </w:p>
        </w:tc>
      </w:tr>
      <w:tr w:rsidR="00FD4251" w:rsidRPr="006C399B" w14:paraId="3706A0C0" w14:textId="77777777" w:rsidTr="00FD4251">
        <w:trPr>
          <w:trHeight w:val="600"/>
        </w:trPr>
        <w:tc>
          <w:tcPr>
            <w:tcW w:w="2932" w:type="dxa"/>
            <w:tcBorders>
              <w:top w:val="nil"/>
              <w:left w:val="nil"/>
              <w:bottom w:val="nil"/>
              <w:right w:val="nil"/>
            </w:tcBorders>
            <w:shd w:val="clear" w:color="auto" w:fill="auto"/>
            <w:noWrap/>
            <w:vAlign w:val="bottom"/>
            <w:hideMark/>
          </w:tcPr>
          <w:p w14:paraId="32553421" w14:textId="77777777" w:rsidR="00FD4251" w:rsidRPr="006C399B" w:rsidRDefault="00FD4251" w:rsidP="00FD4251">
            <w:pPr>
              <w:pStyle w:val="Heading1"/>
              <w:rPr>
                <w:rFonts w:eastAsia="Times New Roman"/>
                <w:sz w:val="28"/>
              </w:rPr>
            </w:pPr>
            <w:r w:rsidRPr="006C399B">
              <w:rPr>
                <w:rFonts w:eastAsia="Times New Roman"/>
                <w:sz w:val="28"/>
              </w:rPr>
              <w:t>Heidi Siegelbaum</w:t>
            </w:r>
            <w:r w:rsidRPr="006C399B">
              <w:rPr>
                <w:rFonts w:eastAsia="Times New Roman"/>
                <w:sz w:val="28"/>
              </w:rPr>
              <w:br/>
            </w:r>
          </w:p>
        </w:tc>
        <w:tc>
          <w:tcPr>
            <w:tcW w:w="580" w:type="dxa"/>
            <w:tcBorders>
              <w:top w:val="nil"/>
              <w:left w:val="nil"/>
              <w:bottom w:val="nil"/>
              <w:right w:val="nil"/>
            </w:tcBorders>
            <w:shd w:val="clear" w:color="auto" w:fill="auto"/>
            <w:noWrap/>
            <w:vAlign w:val="bottom"/>
            <w:hideMark/>
          </w:tcPr>
          <w:p w14:paraId="09BD92C2"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vAlign w:val="bottom"/>
            <w:hideMark/>
          </w:tcPr>
          <w:p w14:paraId="48B3DBDE" w14:textId="77777777" w:rsidR="00FD4251" w:rsidRPr="006C399B" w:rsidRDefault="00FD4251" w:rsidP="00FD4251">
            <w:pPr>
              <w:pStyle w:val="Heading1"/>
              <w:rPr>
                <w:rFonts w:eastAsia="Times New Roman"/>
                <w:sz w:val="28"/>
              </w:rPr>
            </w:pPr>
            <w:r w:rsidRPr="006C399B">
              <w:rPr>
                <w:rFonts w:eastAsia="Times New Roman"/>
                <w:sz w:val="28"/>
              </w:rPr>
              <w:t xml:space="preserve">Washington Stormwater Center, </w:t>
            </w:r>
            <w:r w:rsidRPr="006C399B">
              <w:rPr>
                <w:rFonts w:eastAsia="Times New Roman"/>
                <w:sz w:val="28"/>
              </w:rPr>
              <w:br/>
              <w:t>Washington State University</w:t>
            </w:r>
          </w:p>
        </w:tc>
      </w:tr>
      <w:tr w:rsidR="00FD4251" w:rsidRPr="006C399B" w14:paraId="7BE63804" w14:textId="77777777" w:rsidTr="00FD4251">
        <w:trPr>
          <w:trHeight w:val="300"/>
        </w:trPr>
        <w:tc>
          <w:tcPr>
            <w:tcW w:w="2932" w:type="dxa"/>
            <w:tcBorders>
              <w:top w:val="nil"/>
              <w:left w:val="nil"/>
              <w:bottom w:val="nil"/>
              <w:right w:val="nil"/>
            </w:tcBorders>
            <w:shd w:val="clear" w:color="auto" w:fill="auto"/>
            <w:noWrap/>
            <w:vAlign w:val="bottom"/>
            <w:hideMark/>
          </w:tcPr>
          <w:p w14:paraId="1451BC12" w14:textId="77777777" w:rsidR="00FD4251" w:rsidRPr="006C399B" w:rsidRDefault="00FD4251" w:rsidP="00FD4251">
            <w:pPr>
              <w:pStyle w:val="Heading1"/>
              <w:rPr>
                <w:rFonts w:eastAsia="Times New Roman"/>
                <w:sz w:val="28"/>
              </w:rPr>
            </w:pPr>
            <w:r w:rsidRPr="006C399B">
              <w:rPr>
                <w:rFonts w:eastAsia="Times New Roman"/>
                <w:sz w:val="28"/>
              </w:rPr>
              <w:t>Vince McGowan</w:t>
            </w:r>
          </w:p>
        </w:tc>
        <w:tc>
          <w:tcPr>
            <w:tcW w:w="580" w:type="dxa"/>
            <w:tcBorders>
              <w:top w:val="nil"/>
              <w:left w:val="nil"/>
              <w:bottom w:val="nil"/>
              <w:right w:val="nil"/>
            </w:tcBorders>
            <w:shd w:val="clear" w:color="auto" w:fill="auto"/>
            <w:noWrap/>
            <w:vAlign w:val="bottom"/>
            <w:hideMark/>
          </w:tcPr>
          <w:p w14:paraId="1EA8BB9C"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4A320492" w14:textId="77777777" w:rsidR="00FD4251" w:rsidRPr="006C399B" w:rsidRDefault="00FD4251" w:rsidP="00FD4251">
            <w:pPr>
              <w:pStyle w:val="Heading1"/>
              <w:rPr>
                <w:rFonts w:eastAsia="Times New Roman"/>
                <w:sz w:val="28"/>
              </w:rPr>
            </w:pPr>
            <w:r w:rsidRPr="006C399B">
              <w:rPr>
                <w:rFonts w:eastAsia="Times New Roman"/>
                <w:sz w:val="28"/>
              </w:rPr>
              <w:t>Washington Department of Ecology</w:t>
            </w:r>
          </w:p>
        </w:tc>
      </w:tr>
      <w:tr w:rsidR="00FD4251" w:rsidRPr="006C399B" w14:paraId="7163BE8E" w14:textId="77777777" w:rsidTr="00FD4251">
        <w:trPr>
          <w:trHeight w:val="300"/>
        </w:trPr>
        <w:tc>
          <w:tcPr>
            <w:tcW w:w="2932" w:type="dxa"/>
            <w:tcBorders>
              <w:top w:val="nil"/>
              <w:left w:val="nil"/>
              <w:bottom w:val="nil"/>
              <w:right w:val="nil"/>
            </w:tcBorders>
            <w:shd w:val="clear" w:color="auto" w:fill="auto"/>
            <w:noWrap/>
            <w:vAlign w:val="center"/>
            <w:hideMark/>
          </w:tcPr>
          <w:p w14:paraId="49FFEFA2" w14:textId="77777777" w:rsidR="00FD4251" w:rsidRPr="006C399B" w:rsidRDefault="00FD4251" w:rsidP="00FD4251">
            <w:pPr>
              <w:pStyle w:val="Heading1"/>
              <w:rPr>
                <w:rFonts w:eastAsia="Times New Roman"/>
                <w:sz w:val="28"/>
              </w:rPr>
            </w:pPr>
            <w:r w:rsidRPr="006C399B">
              <w:rPr>
                <w:rFonts w:eastAsia="Times New Roman"/>
                <w:sz w:val="28"/>
              </w:rPr>
              <w:t>Chris Wierzbicki</w:t>
            </w:r>
          </w:p>
        </w:tc>
        <w:tc>
          <w:tcPr>
            <w:tcW w:w="580" w:type="dxa"/>
            <w:tcBorders>
              <w:top w:val="nil"/>
              <w:left w:val="nil"/>
              <w:bottom w:val="nil"/>
              <w:right w:val="nil"/>
            </w:tcBorders>
            <w:shd w:val="clear" w:color="auto" w:fill="auto"/>
            <w:noWrap/>
            <w:vAlign w:val="center"/>
            <w:hideMark/>
          </w:tcPr>
          <w:p w14:paraId="7A98EF31"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581D26BB" w14:textId="77777777" w:rsidR="00FD4251" w:rsidRPr="006C399B" w:rsidRDefault="00FD4251" w:rsidP="00FD4251">
            <w:pPr>
              <w:pStyle w:val="Heading1"/>
              <w:rPr>
                <w:rFonts w:eastAsia="Times New Roman"/>
                <w:sz w:val="28"/>
              </w:rPr>
            </w:pPr>
            <w:proofErr w:type="spellStart"/>
            <w:r w:rsidRPr="006C399B">
              <w:rPr>
                <w:rFonts w:eastAsia="Times New Roman"/>
                <w:sz w:val="28"/>
              </w:rPr>
              <w:t>FutureWise</w:t>
            </w:r>
            <w:proofErr w:type="spellEnd"/>
          </w:p>
        </w:tc>
      </w:tr>
      <w:tr w:rsidR="00FD4251" w:rsidRPr="006C399B" w14:paraId="22A91DEF" w14:textId="77777777" w:rsidTr="00FD4251">
        <w:trPr>
          <w:trHeight w:val="300"/>
        </w:trPr>
        <w:tc>
          <w:tcPr>
            <w:tcW w:w="2932" w:type="dxa"/>
            <w:tcBorders>
              <w:top w:val="nil"/>
              <w:left w:val="nil"/>
              <w:bottom w:val="nil"/>
              <w:right w:val="nil"/>
            </w:tcBorders>
            <w:shd w:val="clear" w:color="auto" w:fill="auto"/>
            <w:noWrap/>
            <w:vAlign w:val="bottom"/>
            <w:hideMark/>
          </w:tcPr>
          <w:p w14:paraId="1A9239A3" w14:textId="77777777" w:rsidR="00FD4251" w:rsidRPr="006C399B" w:rsidRDefault="00FD4251" w:rsidP="00FD4251">
            <w:pPr>
              <w:pStyle w:val="Heading1"/>
              <w:rPr>
                <w:rFonts w:eastAsia="Times New Roman"/>
                <w:sz w:val="28"/>
              </w:rPr>
            </w:pPr>
            <w:r w:rsidRPr="006C399B">
              <w:rPr>
                <w:rFonts w:eastAsia="Times New Roman"/>
                <w:sz w:val="28"/>
              </w:rPr>
              <w:t>Jessie Israel</w:t>
            </w:r>
          </w:p>
        </w:tc>
        <w:tc>
          <w:tcPr>
            <w:tcW w:w="580" w:type="dxa"/>
            <w:tcBorders>
              <w:top w:val="nil"/>
              <w:left w:val="nil"/>
              <w:bottom w:val="nil"/>
              <w:right w:val="nil"/>
            </w:tcBorders>
            <w:shd w:val="clear" w:color="auto" w:fill="auto"/>
            <w:noWrap/>
            <w:vAlign w:val="bottom"/>
            <w:hideMark/>
          </w:tcPr>
          <w:p w14:paraId="76B9D2FD"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51E03DA1" w14:textId="77777777" w:rsidR="00FD4251" w:rsidRPr="006C399B" w:rsidRDefault="00FD4251" w:rsidP="00FD4251">
            <w:pPr>
              <w:pStyle w:val="Heading1"/>
              <w:rPr>
                <w:rFonts w:eastAsia="Times New Roman"/>
                <w:sz w:val="28"/>
              </w:rPr>
            </w:pPr>
            <w:r w:rsidRPr="006C399B">
              <w:rPr>
                <w:rFonts w:eastAsia="Times New Roman"/>
                <w:sz w:val="28"/>
              </w:rPr>
              <w:t>The Nature Conservancy</w:t>
            </w:r>
          </w:p>
        </w:tc>
      </w:tr>
      <w:tr w:rsidR="00FD4251" w:rsidRPr="006C399B" w14:paraId="10E45FB6" w14:textId="77777777" w:rsidTr="00FD4251">
        <w:trPr>
          <w:trHeight w:val="300"/>
        </w:trPr>
        <w:tc>
          <w:tcPr>
            <w:tcW w:w="2932" w:type="dxa"/>
            <w:tcBorders>
              <w:top w:val="nil"/>
              <w:left w:val="nil"/>
              <w:bottom w:val="nil"/>
              <w:right w:val="nil"/>
            </w:tcBorders>
            <w:shd w:val="clear" w:color="auto" w:fill="auto"/>
            <w:noWrap/>
            <w:vAlign w:val="bottom"/>
            <w:hideMark/>
          </w:tcPr>
          <w:p w14:paraId="4CEE2880" w14:textId="77777777" w:rsidR="00FD4251" w:rsidRPr="006C399B" w:rsidRDefault="00FD4251" w:rsidP="00FD4251">
            <w:pPr>
              <w:pStyle w:val="Heading1"/>
              <w:rPr>
                <w:rFonts w:eastAsia="Times New Roman"/>
                <w:sz w:val="28"/>
              </w:rPr>
            </w:pPr>
            <w:r w:rsidRPr="006C399B">
              <w:rPr>
                <w:rFonts w:eastAsia="Times New Roman"/>
                <w:sz w:val="28"/>
              </w:rPr>
              <w:t>Erika Harris</w:t>
            </w:r>
          </w:p>
        </w:tc>
        <w:tc>
          <w:tcPr>
            <w:tcW w:w="580" w:type="dxa"/>
            <w:tcBorders>
              <w:top w:val="nil"/>
              <w:left w:val="nil"/>
              <w:bottom w:val="nil"/>
              <w:right w:val="nil"/>
            </w:tcBorders>
            <w:shd w:val="clear" w:color="auto" w:fill="auto"/>
            <w:noWrap/>
            <w:vAlign w:val="bottom"/>
            <w:hideMark/>
          </w:tcPr>
          <w:p w14:paraId="679485B2"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47D9FDA4" w14:textId="77777777" w:rsidR="00FD4251" w:rsidRPr="006C399B" w:rsidRDefault="00FD4251" w:rsidP="00FD4251">
            <w:pPr>
              <w:pStyle w:val="Heading1"/>
              <w:rPr>
                <w:rFonts w:eastAsia="Times New Roman"/>
                <w:sz w:val="28"/>
              </w:rPr>
            </w:pPr>
            <w:r w:rsidRPr="006C399B">
              <w:rPr>
                <w:rFonts w:eastAsia="Times New Roman"/>
                <w:sz w:val="28"/>
              </w:rPr>
              <w:t>Puget Sound Regional Council</w:t>
            </w:r>
          </w:p>
        </w:tc>
      </w:tr>
      <w:tr w:rsidR="00FD4251" w:rsidRPr="006C399B" w14:paraId="0A4C3AD0" w14:textId="77777777" w:rsidTr="00FD4251">
        <w:trPr>
          <w:trHeight w:val="300"/>
        </w:trPr>
        <w:tc>
          <w:tcPr>
            <w:tcW w:w="2932" w:type="dxa"/>
            <w:tcBorders>
              <w:top w:val="nil"/>
              <w:left w:val="nil"/>
              <w:bottom w:val="nil"/>
              <w:right w:val="nil"/>
            </w:tcBorders>
            <w:shd w:val="clear" w:color="auto" w:fill="auto"/>
            <w:noWrap/>
            <w:vAlign w:val="bottom"/>
            <w:hideMark/>
          </w:tcPr>
          <w:p w14:paraId="24388882" w14:textId="77777777" w:rsidR="00FD4251" w:rsidRPr="006C399B" w:rsidRDefault="00FD4251" w:rsidP="00FD4251">
            <w:pPr>
              <w:pStyle w:val="Heading1"/>
              <w:rPr>
                <w:rFonts w:eastAsia="Times New Roman"/>
                <w:sz w:val="28"/>
              </w:rPr>
            </w:pPr>
            <w:r w:rsidRPr="006C399B">
              <w:rPr>
                <w:rFonts w:eastAsia="Times New Roman"/>
                <w:sz w:val="28"/>
              </w:rPr>
              <w:t>Dave Ward</w:t>
            </w:r>
          </w:p>
        </w:tc>
        <w:tc>
          <w:tcPr>
            <w:tcW w:w="580" w:type="dxa"/>
            <w:tcBorders>
              <w:top w:val="nil"/>
              <w:left w:val="nil"/>
              <w:bottom w:val="nil"/>
              <w:right w:val="nil"/>
            </w:tcBorders>
            <w:shd w:val="clear" w:color="auto" w:fill="auto"/>
            <w:noWrap/>
            <w:vAlign w:val="bottom"/>
            <w:hideMark/>
          </w:tcPr>
          <w:p w14:paraId="27D9B054"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654E5CD5" w14:textId="77777777" w:rsidR="00FD4251" w:rsidRPr="006C399B" w:rsidRDefault="00FD4251" w:rsidP="00FD4251">
            <w:pPr>
              <w:pStyle w:val="Heading1"/>
              <w:rPr>
                <w:rFonts w:eastAsia="Times New Roman"/>
                <w:sz w:val="28"/>
              </w:rPr>
            </w:pPr>
            <w:r w:rsidRPr="006C399B">
              <w:rPr>
                <w:rFonts w:eastAsia="Times New Roman"/>
                <w:sz w:val="28"/>
              </w:rPr>
              <w:t>Kitsap County</w:t>
            </w:r>
          </w:p>
        </w:tc>
      </w:tr>
      <w:tr w:rsidR="00FD4251" w:rsidRPr="006C399B" w14:paraId="03C1B4A7" w14:textId="77777777" w:rsidTr="00FD4251">
        <w:trPr>
          <w:trHeight w:val="300"/>
        </w:trPr>
        <w:tc>
          <w:tcPr>
            <w:tcW w:w="2932" w:type="dxa"/>
            <w:tcBorders>
              <w:top w:val="nil"/>
              <w:left w:val="nil"/>
              <w:bottom w:val="nil"/>
              <w:right w:val="nil"/>
            </w:tcBorders>
            <w:shd w:val="clear" w:color="auto" w:fill="auto"/>
            <w:noWrap/>
            <w:vAlign w:val="bottom"/>
            <w:hideMark/>
          </w:tcPr>
          <w:p w14:paraId="2978F277" w14:textId="77777777" w:rsidR="00FD4251" w:rsidRPr="006C399B" w:rsidRDefault="00FD4251" w:rsidP="00FD4251">
            <w:pPr>
              <w:pStyle w:val="Heading1"/>
              <w:rPr>
                <w:rFonts w:eastAsia="Times New Roman"/>
                <w:sz w:val="28"/>
              </w:rPr>
            </w:pPr>
            <w:r w:rsidRPr="006C399B">
              <w:rPr>
                <w:rFonts w:eastAsia="Times New Roman"/>
                <w:sz w:val="28"/>
              </w:rPr>
              <w:t>John Palmer</w:t>
            </w:r>
          </w:p>
        </w:tc>
        <w:tc>
          <w:tcPr>
            <w:tcW w:w="580" w:type="dxa"/>
            <w:tcBorders>
              <w:top w:val="nil"/>
              <w:left w:val="nil"/>
              <w:bottom w:val="nil"/>
              <w:right w:val="nil"/>
            </w:tcBorders>
            <w:shd w:val="clear" w:color="auto" w:fill="auto"/>
            <w:noWrap/>
            <w:vAlign w:val="bottom"/>
            <w:hideMark/>
          </w:tcPr>
          <w:p w14:paraId="1FFA7BDA"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hideMark/>
          </w:tcPr>
          <w:p w14:paraId="676E0BA5" w14:textId="77777777" w:rsidR="00FD4251" w:rsidRPr="006C399B" w:rsidRDefault="00FD4251" w:rsidP="00FD4251">
            <w:pPr>
              <w:pStyle w:val="Heading1"/>
              <w:rPr>
                <w:rFonts w:eastAsia="Times New Roman"/>
                <w:sz w:val="28"/>
              </w:rPr>
            </w:pPr>
            <w:r w:rsidRPr="006C399B">
              <w:rPr>
                <w:rFonts w:eastAsia="Times New Roman"/>
                <w:sz w:val="28"/>
              </w:rPr>
              <w:t>Environmental Protection Agency</w:t>
            </w:r>
          </w:p>
        </w:tc>
      </w:tr>
      <w:tr w:rsidR="00FD4251" w:rsidRPr="006C399B" w14:paraId="4467DEC4" w14:textId="77777777" w:rsidTr="00FD4251">
        <w:trPr>
          <w:trHeight w:val="300"/>
        </w:trPr>
        <w:tc>
          <w:tcPr>
            <w:tcW w:w="2932" w:type="dxa"/>
            <w:tcBorders>
              <w:top w:val="nil"/>
              <w:left w:val="nil"/>
              <w:bottom w:val="nil"/>
              <w:right w:val="nil"/>
            </w:tcBorders>
            <w:shd w:val="clear" w:color="auto" w:fill="auto"/>
            <w:noWrap/>
            <w:vAlign w:val="bottom"/>
          </w:tcPr>
          <w:p w14:paraId="393C19E0" w14:textId="77777777" w:rsidR="00FD4251" w:rsidRPr="006C399B" w:rsidRDefault="00FD4251" w:rsidP="00FD4251">
            <w:pPr>
              <w:pStyle w:val="Heading1"/>
              <w:rPr>
                <w:rFonts w:eastAsia="Times New Roman"/>
                <w:sz w:val="28"/>
              </w:rPr>
            </w:pPr>
            <w:r>
              <w:rPr>
                <w:rFonts w:eastAsia="Times New Roman"/>
                <w:sz w:val="28"/>
              </w:rPr>
              <w:t>Linden Lampman/</w:t>
            </w:r>
            <w:r>
              <w:rPr>
                <w:rFonts w:eastAsia="Times New Roman"/>
                <w:sz w:val="28"/>
              </w:rPr>
              <w:br/>
              <w:t>Ben Thompson</w:t>
            </w:r>
          </w:p>
        </w:tc>
        <w:tc>
          <w:tcPr>
            <w:tcW w:w="580" w:type="dxa"/>
            <w:tcBorders>
              <w:top w:val="nil"/>
              <w:left w:val="nil"/>
              <w:bottom w:val="nil"/>
              <w:right w:val="nil"/>
            </w:tcBorders>
            <w:shd w:val="clear" w:color="auto" w:fill="auto"/>
            <w:noWrap/>
            <w:vAlign w:val="bottom"/>
          </w:tcPr>
          <w:p w14:paraId="51B96A7C" w14:textId="77777777" w:rsidR="00FD4251" w:rsidRPr="006C399B" w:rsidRDefault="00FD4251" w:rsidP="00FD4251">
            <w:pPr>
              <w:pStyle w:val="Heading1"/>
              <w:rPr>
                <w:rFonts w:eastAsia="Times New Roman"/>
                <w:sz w:val="28"/>
              </w:rPr>
            </w:pPr>
          </w:p>
        </w:tc>
        <w:tc>
          <w:tcPr>
            <w:tcW w:w="5308" w:type="dxa"/>
            <w:tcBorders>
              <w:top w:val="nil"/>
              <w:left w:val="nil"/>
              <w:bottom w:val="nil"/>
              <w:right w:val="nil"/>
            </w:tcBorders>
            <w:shd w:val="clear" w:color="auto" w:fill="auto"/>
            <w:noWrap/>
            <w:vAlign w:val="bottom"/>
          </w:tcPr>
          <w:p w14:paraId="5136F528" w14:textId="77777777" w:rsidR="00FD4251" w:rsidRPr="006C399B" w:rsidRDefault="00FD4251" w:rsidP="00FD4251">
            <w:pPr>
              <w:pStyle w:val="Heading1"/>
              <w:rPr>
                <w:rFonts w:eastAsia="Times New Roman"/>
                <w:sz w:val="28"/>
              </w:rPr>
            </w:pPr>
            <w:r>
              <w:rPr>
                <w:rFonts w:eastAsia="Times New Roman"/>
                <w:sz w:val="28"/>
              </w:rPr>
              <w:t>Washington Department of Natural Resources</w:t>
            </w:r>
          </w:p>
        </w:tc>
      </w:tr>
    </w:tbl>
    <w:p w14:paraId="0096505A" w14:textId="06B6CD3C" w:rsidR="000C7B6B" w:rsidRDefault="00FD4251">
      <w:pPr>
        <w:spacing w:after="160" w:line="259" w:lineRule="auto"/>
        <w:rPr>
          <w:noProof/>
        </w:rPr>
      </w:pPr>
      <w:r>
        <w:rPr>
          <w:noProof/>
        </w:rPr>
        <w:br w:type="page"/>
      </w:r>
    </w:p>
    <w:p w14:paraId="219540FF" w14:textId="77777777" w:rsidR="00FD4251" w:rsidRDefault="00C66347">
      <w:r>
        <w:rPr>
          <w:noProof/>
        </w:rPr>
        <w:lastRenderedPageBreak/>
        <w:drawing>
          <wp:inline distT="0" distB="0" distL="0" distR="0" wp14:anchorId="0750D073" wp14:editId="42599060">
            <wp:extent cx="5943600" cy="7701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nters_small_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701280"/>
                    </a:xfrm>
                    <a:prstGeom prst="rect">
                      <a:avLst/>
                    </a:prstGeom>
                  </pic:spPr>
                </pic:pic>
              </a:graphicData>
            </a:graphic>
          </wp:inline>
        </w:drawing>
      </w:r>
    </w:p>
    <w:p w14:paraId="75EB483B" w14:textId="77777777" w:rsidR="00E56956" w:rsidRDefault="00E56956"/>
    <w:p w14:paraId="0E921A05" w14:textId="77777777" w:rsidR="00E56956" w:rsidRDefault="00E56956" w:rsidP="00C7792A"/>
    <w:sectPr w:rsidR="00E56956" w:rsidSect="005E335C">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4672" w14:textId="77777777" w:rsidR="00673B43" w:rsidRDefault="00673B43" w:rsidP="00E56956">
      <w:r>
        <w:separator/>
      </w:r>
    </w:p>
  </w:endnote>
  <w:endnote w:type="continuationSeparator" w:id="0">
    <w:p w14:paraId="3066AE29" w14:textId="77777777" w:rsidR="00673B43" w:rsidRDefault="00673B43" w:rsidP="00E5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54F2" w14:textId="77777777" w:rsidR="00B75AB0" w:rsidRDefault="00B75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F136" w14:textId="77777777" w:rsidR="00B75AB0" w:rsidRDefault="00B75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53643"/>
      <w:docPartObj>
        <w:docPartGallery w:val="Page Numbers (Bottom of Page)"/>
        <w:docPartUnique/>
      </w:docPartObj>
    </w:sdtPr>
    <w:sdtEndPr/>
    <w:sdtContent>
      <w:sdt>
        <w:sdtPr>
          <w:id w:val="2025045997"/>
          <w:docPartObj>
            <w:docPartGallery w:val="Page Numbers (Top of Page)"/>
            <w:docPartUnique/>
          </w:docPartObj>
        </w:sdtPr>
        <w:sdtEndPr/>
        <w:sdtContent>
          <w:p w14:paraId="1FC48D09" w14:textId="2DF53D8C" w:rsidR="00673B43" w:rsidRDefault="00673B4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E22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22DA">
              <w:rPr>
                <w:b/>
                <w:bCs/>
                <w:noProof/>
              </w:rPr>
              <w:t>6</w:t>
            </w:r>
            <w:r>
              <w:rPr>
                <w:b/>
                <w:bCs/>
                <w:sz w:val="24"/>
                <w:szCs w:val="24"/>
              </w:rPr>
              <w:fldChar w:fldCharType="end"/>
            </w:r>
          </w:p>
        </w:sdtContent>
      </w:sdt>
    </w:sdtContent>
  </w:sdt>
  <w:p w14:paraId="52635DCC" w14:textId="77777777" w:rsidR="00673B43" w:rsidRDefault="00673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E401A" w14:textId="77777777" w:rsidR="00673B43" w:rsidRDefault="00673B43" w:rsidP="00E56956">
      <w:r>
        <w:separator/>
      </w:r>
    </w:p>
  </w:footnote>
  <w:footnote w:type="continuationSeparator" w:id="0">
    <w:p w14:paraId="094709EC" w14:textId="77777777" w:rsidR="00673B43" w:rsidRDefault="00673B43" w:rsidP="00E5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B346" w14:textId="77777777" w:rsidR="00B75AB0" w:rsidRDefault="00B75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CF3B" w14:textId="7AF945EA" w:rsidR="00673B43" w:rsidRDefault="00B75AB0">
    <w:pPr>
      <w:pStyle w:val="Header"/>
    </w:pPr>
    <w:r>
      <w:t xml:space="preserve">Draft </w:t>
    </w:r>
    <w:r w:rsidR="00673B43">
      <w:t>Summary: Building Green Cities Advisory Committee Meeting 10/24/17 (cont.)</w:t>
    </w:r>
  </w:p>
  <w:p w14:paraId="27BFFAC1" w14:textId="77777777" w:rsidR="00673B43" w:rsidRDefault="00673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EF19" w14:textId="4687509A" w:rsidR="00B75AB0" w:rsidRDefault="00B75AB0" w:rsidP="00B75AB0">
    <w:pPr>
      <w:pStyle w:val="Header"/>
      <w:jc w:val="right"/>
    </w:pPr>
    <w:r>
      <w:rPr>
        <w:noProof/>
      </w:rPr>
      <w:drawing>
        <wp:inline distT="0" distB="0" distL="0" distR="0" wp14:anchorId="66314AD3" wp14:editId="45FAEDF3">
          <wp:extent cx="198120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FF88"/>
    <w:multiLevelType w:val="singleLevel"/>
    <w:tmpl w:val="3549F560"/>
    <w:lvl w:ilvl="0">
      <w:start w:val="1"/>
      <w:numFmt w:val="decimal"/>
      <w:lvlText w:val="%1."/>
      <w:lvlJc w:val="left"/>
      <w:pPr>
        <w:tabs>
          <w:tab w:val="num" w:pos="360"/>
        </w:tabs>
      </w:pPr>
      <w:rPr>
        <w:rFonts w:ascii="Calibri" w:hAnsi="Calibri"/>
        <w:snapToGrid/>
        <w:spacing w:val="-3"/>
        <w:sz w:val="24"/>
      </w:rPr>
    </w:lvl>
  </w:abstractNum>
  <w:abstractNum w:abstractNumId="1" w15:restartNumberingAfterBreak="0">
    <w:nsid w:val="05D406AF"/>
    <w:multiLevelType w:val="singleLevel"/>
    <w:tmpl w:val="22B8D9AD"/>
    <w:lvl w:ilvl="0">
      <w:numFmt w:val="bullet"/>
      <w:lvlText w:val="o"/>
      <w:lvlJc w:val="left"/>
      <w:pPr>
        <w:tabs>
          <w:tab w:val="num" w:pos="216"/>
        </w:tabs>
        <w:ind w:left="216" w:hanging="216"/>
      </w:pPr>
      <w:rPr>
        <w:rFonts w:ascii="Courier New" w:hAnsi="Courier New"/>
        <w:b/>
        <w:snapToGrid/>
        <w:sz w:val="25"/>
      </w:rPr>
    </w:lvl>
  </w:abstractNum>
  <w:abstractNum w:abstractNumId="2" w15:restartNumberingAfterBreak="0">
    <w:nsid w:val="05ECB436"/>
    <w:multiLevelType w:val="singleLevel"/>
    <w:tmpl w:val="4FA67E7B"/>
    <w:lvl w:ilvl="0">
      <w:numFmt w:val="bullet"/>
      <w:lvlText w:val="q"/>
      <w:lvlJc w:val="left"/>
      <w:pPr>
        <w:tabs>
          <w:tab w:val="num" w:pos="288"/>
        </w:tabs>
      </w:pPr>
      <w:rPr>
        <w:rFonts w:ascii="Wingdings" w:hAnsi="Wingdings"/>
        <w:snapToGrid/>
        <w:spacing w:val="-5"/>
        <w:sz w:val="20"/>
      </w:rPr>
    </w:lvl>
  </w:abstractNum>
  <w:abstractNum w:abstractNumId="3" w15:restartNumberingAfterBreak="0">
    <w:nsid w:val="0759FF95"/>
    <w:multiLevelType w:val="singleLevel"/>
    <w:tmpl w:val="45805217"/>
    <w:lvl w:ilvl="0">
      <w:start w:val="1"/>
      <w:numFmt w:val="decimal"/>
      <w:lvlText w:val="%1."/>
      <w:lvlJc w:val="left"/>
      <w:pPr>
        <w:tabs>
          <w:tab w:val="num" w:pos="432"/>
        </w:tabs>
      </w:pPr>
      <w:rPr>
        <w:rFonts w:ascii="Calibri" w:hAnsi="Calibri"/>
        <w:b/>
        <w:snapToGrid/>
        <w:spacing w:val="-2"/>
        <w:sz w:val="27"/>
      </w:rPr>
    </w:lvl>
  </w:abstractNum>
  <w:abstractNum w:abstractNumId="4" w15:restartNumberingAfterBreak="0">
    <w:nsid w:val="13776105"/>
    <w:multiLevelType w:val="hybridMultilevel"/>
    <w:tmpl w:val="A11C4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1867BF"/>
    <w:multiLevelType w:val="hybridMultilevel"/>
    <w:tmpl w:val="B552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C4606"/>
    <w:multiLevelType w:val="hybridMultilevel"/>
    <w:tmpl w:val="1C1E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2"/>
    <w:lvlOverride w:ilvl="0">
      <w:lvl w:ilvl="0">
        <w:numFmt w:val="bullet"/>
        <w:lvlText w:val="q"/>
        <w:lvlJc w:val="left"/>
        <w:pPr>
          <w:tabs>
            <w:tab w:val="num" w:pos="288"/>
          </w:tabs>
        </w:pPr>
        <w:rPr>
          <w:rFonts w:ascii="Wingdings" w:hAnsi="Wingdings"/>
          <w:b/>
          <w:snapToGrid/>
          <w:spacing w:val="-4"/>
          <w:sz w:val="20"/>
        </w:rPr>
      </w:lvl>
    </w:lvlOverride>
  </w:num>
  <w:num w:numId="5">
    <w:abstractNumId w:val="2"/>
    <w:lvlOverride w:ilvl="0">
      <w:lvl w:ilvl="0">
        <w:numFmt w:val="bullet"/>
        <w:lvlText w:val="q"/>
        <w:lvlJc w:val="left"/>
        <w:pPr>
          <w:tabs>
            <w:tab w:val="num" w:pos="288"/>
          </w:tabs>
        </w:pPr>
        <w:rPr>
          <w:rFonts w:ascii="Wingdings" w:hAnsi="Wingdings"/>
          <w:snapToGrid/>
          <w:spacing w:val="-8"/>
          <w:sz w:val="20"/>
        </w:rPr>
      </w:lvl>
    </w:lvlOverride>
  </w:num>
  <w:num w:numId="6">
    <w:abstractNumId w:val="2"/>
    <w:lvlOverride w:ilvl="0">
      <w:lvl w:ilvl="0">
        <w:numFmt w:val="bullet"/>
        <w:lvlText w:val="q"/>
        <w:lvlJc w:val="left"/>
        <w:pPr>
          <w:tabs>
            <w:tab w:val="num" w:pos="216"/>
          </w:tabs>
          <w:ind w:left="216" w:hanging="216"/>
        </w:pPr>
        <w:rPr>
          <w:rFonts w:ascii="Wingdings" w:hAnsi="Wingdings"/>
          <w:b/>
          <w:snapToGrid/>
          <w:sz w:val="14"/>
        </w:rPr>
      </w:lvl>
    </w:lvlOverride>
  </w:num>
  <w:num w:numId="7">
    <w:abstractNumId w:val="2"/>
    <w:lvlOverride w:ilvl="0">
      <w:lvl w:ilvl="0">
        <w:numFmt w:val="bullet"/>
        <w:lvlText w:val="q"/>
        <w:lvlJc w:val="left"/>
        <w:pPr>
          <w:tabs>
            <w:tab w:val="num" w:pos="216"/>
          </w:tabs>
          <w:ind w:left="216" w:hanging="216"/>
        </w:pPr>
        <w:rPr>
          <w:rFonts w:ascii="Wingdings" w:hAnsi="Wingdings"/>
          <w:b/>
          <w:snapToGrid/>
          <w:sz w:val="14"/>
        </w:rPr>
      </w:lvl>
    </w:lvlOverride>
  </w:num>
  <w:num w:numId="8">
    <w:abstractNumId w:val="2"/>
    <w:lvlOverride w:ilvl="0">
      <w:lvl w:ilvl="0">
        <w:numFmt w:val="bullet"/>
        <w:lvlText w:val="q"/>
        <w:lvlJc w:val="left"/>
        <w:pPr>
          <w:tabs>
            <w:tab w:val="num" w:pos="216"/>
          </w:tabs>
          <w:ind w:left="216" w:hanging="216"/>
        </w:pPr>
        <w:rPr>
          <w:rFonts w:ascii="Wingdings" w:hAnsi="Wingdings"/>
          <w:b/>
          <w:snapToGrid/>
          <w:sz w:val="14"/>
        </w:rPr>
      </w:lvl>
    </w:lvlOverride>
  </w:num>
  <w:num w:numId="9">
    <w:abstractNumId w:val="2"/>
    <w:lvlOverride w:ilvl="0">
      <w:lvl w:ilvl="0">
        <w:numFmt w:val="bullet"/>
        <w:lvlText w:val="q"/>
        <w:lvlJc w:val="left"/>
        <w:pPr>
          <w:tabs>
            <w:tab w:val="num" w:pos="216"/>
          </w:tabs>
        </w:pPr>
        <w:rPr>
          <w:rFonts w:ascii="Wingdings" w:hAnsi="Wingdings"/>
          <w:b/>
          <w:snapToGrid/>
          <w:spacing w:val="-2"/>
          <w:sz w:val="14"/>
        </w:rPr>
      </w:lvl>
    </w:lvlOverride>
  </w:num>
  <w:num w:numId="10">
    <w:abstractNumId w:val="2"/>
    <w:lvlOverride w:ilvl="0">
      <w:lvl w:ilvl="0">
        <w:numFmt w:val="bullet"/>
        <w:lvlText w:val="q"/>
        <w:lvlJc w:val="left"/>
        <w:pPr>
          <w:tabs>
            <w:tab w:val="num" w:pos="216"/>
          </w:tabs>
          <w:ind w:left="216" w:hanging="216"/>
        </w:pPr>
        <w:rPr>
          <w:rFonts w:ascii="Wingdings" w:hAnsi="Wingdings"/>
          <w:b/>
          <w:snapToGrid/>
          <w:sz w:val="14"/>
        </w:rPr>
      </w:lvl>
    </w:lvlOverride>
  </w:num>
  <w:num w:numId="11">
    <w:abstractNumId w:val="2"/>
    <w:lvlOverride w:ilvl="0">
      <w:lvl w:ilvl="0">
        <w:numFmt w:val="bullet"/>
        <w:lvlText w:val="q"/>
        <w:lvlJc w:val="left"/>
        <w:pPr>
          <w:tabs>
            <w:tab w:val="num" w:pos="216"/>
          </w:tabs>
          <w:ind w:left="216" w:hanging="216"/>
        </w:pPr>
        <w:rPr>
          <w:rFonts w:ascii="Wingdings" w:hAnsi="Wingdings"/>
          <w:b/>
          <w:snapToGrid/>
          <w:sz w:val="14"/>
        </w:rPr>
      </w:lvl>
    </w:lvlOverride>
  </w:num>
  <w:num w:numId="12">
    <w:abstractNumId w:val="2"/>
    <w:lvlOverride w:ilvl="0">
      <w:lvl w:ilvl="0">
        <w:numFmt w:val="bullet"/>
        <w:lvlText w:val="q"/>
        <w:lvlJc w:val="left"/>
        <w:pPr>
          <w:tabs>
            <w:tab w:val="num" w:pos="216"/>
          </w:tabs>
          <w:ind w:left="216" w:hanging="216"/>
        </w:pPr>
        <w:rPr>
          <w:rFonts w:ascii="Wingdings" w:hAnsi="Wingdings"/>
          <w:b/>
          <w:snapToGrid/>
          <w:sz w:val="14"/>
        </w:rPr>
      </w:lvl>
    </w:lvlOverride>
  </w:num>
  <w:num w:numId="13">
    <w:abstractNumId w:val="2"/>
    <w:lvlOverride w:ilvl="0">
      <w:lvl w:ilvl="0">
        <w:numFmt w:val="bullet"/>
        <w:lvlText w:val="q"/>
        <w:lvlJc w:val="left"/>
        <w:pPr>
          <w:tabs>
            <w:tab w:val="num" w:pos="216"/>
          </w:tabs>
          <w:ind w:left="216" w:hanging="216"/>
        </w:pPr>
        <w:rPr>
          <w:rFonts w:ascii="Wingdings" w:hAnsi="Wingdings"/>
          <w:b/>
          <w:snapToGrid/>
          <w:sz w:val="14"/>
        </w:rPr>
      </w:lvl>
    </w:lvlOverride>
  </w:num>
  <w:num w:numId="14">
    <w:abstractNumId w:val="3"/>
  </w:num>
  <w:num w:numId="15">
    <w:abstractNumId w:val="3"/>
    <w:lvlOverride w:ilvl="0">
      <w:lvl w:ilvl="0">
        <w:numFmt w:val="decimal"/>
        <w:lvlText w:val="%1."/>
        <w:lvlJc w:val="left"/>
        <w:pPr>
          <w:tabs>
            <w:tab w:val="num" w:pos="432"/>
          </w:tabs>
        </w:pPr>
        <w:rPr>
          <w:rFonts w:ascii="Calibri" w:hAnsi="Calibri"/>
          <w:b/>
          <w:snapToGrid/>
          <w:spacing w:val="-1"/>
          <w:sz w:val="27"/>
        </w:rPr>
      </w:lvl>
    </w:lvlOverride>
  </w:num>
  <w:num w:numId="16">
    <w:abstractNumId w:val="1"/>
  </w:num>
  <w:num w:numId="17">
    <w:abstractNumId w:val="1"/>
    <w:lvlOverride w:ilvl="0">
      <w:lvl w:ilvl="0">
        <w:numFmt w:val="bullet"/>
        <w:lvlText w:val="o"/>
        <w:lvlJc w:val="left"/>
        <w:pPr>
          <w:tabs>
            <w:tab w:val="num" w:pos="288"/>
          </w:tabs>
          <w:ind w:left="288" w:hanging="288"/>
        </w:pPr>
        <w:rPr>
          <w:rFonts w:ascii="Courier New" w:hAnsi="Courier New"/>
          <w:b/>
          <w:snapToGrid/>
          <w:spacing w:val="-3"/>
          <w:sz w:val="25"/>
        </w:rPr>
      </w:lvl>
    </w:lvlOverride>
  </w:num>
  <w:num w:numId="18">
    <w:abstractNumId w:val="1"/>
    <w:lvlOverride w:ilvl="0">
      <w:lvl w:ilvl="0">
        <w:numFmt w:val="bullet"/>
        <w:lvlText w:val="o"/>
        <w:lvlJc w:val="left"/>
        <w:pPr>
          <w:tabs>
            <w:tab w:val="num" w:pos="216"/>
          </w:tabs>
          <w:ind w:left="216" w:hanging="216"/>
        </w:pPr>
        <w:rPr>
          <w:rFonts w:ascii="Courier New" w:hAnsi="Courier New"/>
          <w:b/>
          <w:snapToGrid/>
          <w:sz w:val="25"/>
        </w:rPr>
      </w:lvl>
    </w:lvlOverride>
  </w:num>
  <w:num w:numId="19">
    <w:abstractNumId w:val="1"/>
    <w:lvlOverride w:ilvl="0">
      <w:lvl w:ilvl="0">
        <w:numFmt w:val="bullet"/>
        <w:lvlText w:val="o"/>
        <w:lvlJc w:val="left"/>
        <w:pPr>
          <w:tabs>
            <w:tab w:val="num" w:pos="216"/>
          </w:tabs>
          <w:ind w:left="216" w:hanging="216"/>
        </w:pPr>
        <w:rPr>
          <w:rFonts w:ascii="Courier New" w:hAnsi="Courier New"/>
          <w:b/>
          <w:snapToGrid/>
          <w:spacing w:val="-1"/>
          <w:sz w:val="25"/>
        </w:rPr>
      </w:lvl>
    </w:lvlOverride>
  </w:num>
  <w:num w:numId="20">
    <w:abstractNumId w:val="1"/>
    <w:lvlOverride w:ilvl="0">
      <w:lvl w:ilvl="0">
        <w:numFmt w:val="bullet"/>
        <w:lvlText w:val="o"/>
        <w:lvlJc w:val="left"/>
        <w:pPr>
          <w:tabs>
            <w:tab w:val="num" w:pos="288"/>
          </w:tabs>
          <w:ind w:left="288" w:hanging="288"/>
        </w:pPr>
        <w:rPr>
          <w:rFonts w:ascii="Courier New" w:hAnsi="Courier New"/>
          <w:b/>
          <w:snapToGrid/>
          <w:sz w:val="25"/>
        </w:rPr>
      </w:lvl>
    </w:lvlOverride>
  </w:num>
  <w:num w:numId="21">
    <w:abstractNumId w:val="1"/>
    <w:lvlOverride w:ilvl="0">
      <w:lvl w:ilvl="0">
        <w:numFmt w:val="bullet"/>
        <w:lvlText w:val="o"/>
        <w:lvlJc w:val="left"/>
        <w:pPr>
          <w:tabs>
            <w:tab w:val="num" w:pos="216"/>
          </w:tabs>
          <w:ind w:left="216" w:hanging="216"/>
        </w:pPr>
        <w:rPr>
          <w:rFonts w:ascii="Courier New" w:hAnsi="Courier New"/>
          <w:b/>
          <w:snapToGrid/>
          <w:sz w:val="25"/>
        </w:rPr>
      </w:lvl>
    </w:lvlOverride>
  </w:num>
  <w:num w:numId="22">
    <w:abstractNumId w:val="0"/>
  </w:num>
  <w:num w:numId="23">
    <w:abstractNumId w:val="0"/>
    <w:lvlOverride w:ilvl="0">
      <w:lvl w:ilvl="0">
        <w:numFmt w:val="decimal"/>
        <w:lvlText w:val="%1."/>
        <w:lvlJc w:val="left"/>
        <w:pPr>
          <w:tabs>
            <w:tab w:val="num" w:pos="360"/>
          </w:tabs>
        </w:pPr>
        <w:rPr>
          <w:rFonts w:ascii="Calibri" w:hAnsi="Calibri"/>
          <w:snapToGrid/>
          <w:sz w:val="24"/>
        </w:rPr>
      </w:lvl>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E9"/>
    <w:rsid w:val="000C7B6B"/>
    <w:rsid w:val="000D35BB"/>
    <w:rsid w:val="001F5E96"/>
    <w:rsid w:val="00210B27"/>
    <w:rsid w:val="00220FD0"/>
    <w:rsid w:val="0027195E"/>
    <w:rsid w:val="002A54C1"/>
    <w:rsid w:val="002D3787"/>
    <w:rsid w:val="003E22DA"/>
    <w:rsid w:val="004F23C6"/>
    <w:rsid w:val="005E1C7B"/>
    <w:rsid w:val="005E335C"/>
    <w:rsid w:val="006358D4"/>
    <w:rsid w:val="006628CA"/>
    <w:rsid w:val="006724EE"/>
    <w:rsid w:val="00673B43"/>
    <w:rsid w:val="00765FFA"/>
    <w:rsid w:val="007F3812"/>
    <w:rsid w:val="008A6EE9"/>
    <w:rsid w:val="008B5D76"/>
    <w:rsid w:val="008C337D"/>
    <w:rsid w:val="008D28C5"/>
    <w:rsid w:val="0092175F"/>
    <w:rsid w:val="009641D2"/>
    <w:rsid w:val="009963B0"/>
    <w:rsid w:val="009B1DD1"/>
    <w:rsid w:val="00B7296C"/>
    <w:rsid w:val="00B75799"/>
    <w:rsid w:val="00B75AB0"/>
    <w:rsid w:val="00B91680"/>
    <w:rsid w:val="00BA6727"/>
    <w:rsid w:val="00C66347"/>
    <w:rsid w:val="00C7792A"/>
    <w:rsid w:val="00D12D63"/>
    <w:rsid w:val="00D820A0"/>
    <w:rsid w:val="00DC57D5"/>
    <w:rsid w:val="00E115AA"/>
    <w:rsid w:val="00E56956"/>
    <w:rsid w:val="00F22695"/>
    <w:rsid w:val="00F86518"/>
    <w:rsid w:val="00FD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2D0373"/>
  <w15:chartTrackingRefBased/>
  <w15:docId w15:val="{E3CB7C89-BE9F-49F7-9A17-EF15F23D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E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425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425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EE9"/>
    <w:pPr>
      <w:ind w:left="720"/>
    </w:pPr>
  </w:style>
  <w:style w:type="paragraph" w:styleId="BalloonText">
    <w:name w:val="Balloon Text"/>
    <w:basedOn w:val="Normal"/>
    <w:link w:val="BalloonTextChar"/>
    <w:uiPriority w:val="99"/>
    <w:semiHidden/>
    <w:unhideWhenUsed/>
    <w:rsid w:val="008A6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E9"/>
    <w:rPr>
      <w:rFonts w:ascii="Segoe UI" w:hAnsi="Segoe UI" w:cs="Segoe UI"/>
      <w:sz w:val="18"/>
      <w:szCs w:val="18"/>
    </w:rPr>
  </w:style>
  <w:style w:type="character" w:styleId="Hyperlink">
    <w:name w:val="Hyperlink"/>
    <w:basedOn w:val="DefaultParagraphFont"/>
    <w:uiPriority w:val="99"/>
    <w:unhideWhenUsed/>
    <w:rsid w:val="000C7B6B"/>
    <w:rPr>
      <w:color w:val="0563C1" w:themeColor="hyperlink"/>
      <w:u w:val="single"/>
    </w:rPr>
  </w:style>
  <w:style w:type="character" w:styleId="CommentReference">
    <w:name w:val="annotation reference"/>
    <w:basedOn w:val="DefaultParagraphFont"/>
    <w:uiPriority w:val="99"/>
    <w:semiHidden/>
    <w:unhideWhenUsed/>
    <w:rsid w:val="00F86518"/>
    <w:rPr>
      <w:sz w:val="16"/>
      <w:szCs w:val="16"/>
    </w:rPr>
  </w:style>
  <w:style w:type="paragraph" w:styleId="CommentText">
    <w:name w:val="annotation text"/>
    <w:basedOn w:val="Normal"/>
    <w:link w:val="CommentTextChar"/>
    <w:uiPriority w:val="99"/>
    <w:semiHidden/>
    <w:unhideWhenUsed/>
    <w:rsid w:val="00F86518"/>
    <w:rPr>
      <w:sz w:val="20"/>
      <w:szCs w:val="20"/>
    </w:rPr>
  </w:style>
  <w:style w:type="character" w:customStyle="1" w:styleId="CommentTextChar">
    <w:name w:val="Comment Text Char"/>
    <w:basedOn w:val="DefaultParagraphFont"/>
    <w:link w:val="CommentText"/>
    <w:uiPriority w:val="99"/>
    <w:semiHidden/>
    <w:rsid w:val="00F8651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86518"/>
    <w:rPr>
      <w:b/>
      <w:bCs/>
    </w:rPr>
  </w:style>
  <w:style w:type="character" w:customStyle="1" w:styleId="CommentSubjectChar">
    <w:name w:val="Comment Subject Char"/>
    <w:basedOn w:val="CommentTextChar"/>
    <w:link w:val="CommentSubject"/>
    <w:uiPriority w:val="99"/>
    <w:semiHidden/>
    <w:rsid w:val="00F86518"/>
    <w:rPr>
      <w:rFonts w:ascii="Calibri" w:hAnsi="Calibri" w:cs="Times New Roman"/>
      <w:b/>
      <w:bCs/>
      <w:sz w:val="20"/>
      <w:szCs w:val="20"/>
    </w:rPr>
  </w:style>
  <w:style w:type="paragraph" w:styleId="Header">
    <w:name w:val="header"/>
    <w:basedOn w:val="Normal"/>
    <w:link w:val="HeaderChar"/>
    <w:uiPriority w:val="99"/>
    <w:unhideWhenUsed/>
    <w:rsid w:val="00E56956"/>
    <w:pPr>
      <w:tabs>
        <w:tab w:val="center" w:pos="4680"/>
        <w:tab w:val="right" w:pos="9360"/>
      </w:tabs>
    </w:pPr>
  </w:style>
  <w:style w:type="character" w:customStyle="1" w:styleId="HeaderChar">
    <w:name w:val="Header Char"/>
    <w:basedOn w:val="DefaultParagraphFont"/>
    <w:link w:val="Header"/>
    <w:uiPriority w:val="99"/>
    <w:rsid w:val="00E56956"/>
    <w:rPr>
      <w:rFonts w:ascii="Calibri" w:hAnsi="Calibri" w:cs="Times New Roman"/>
    </w:rPr>
  </w:style>
  <w:style w:type="paragraph" w:styleId="Footer">
    <w:name w:val="footer"/>
    <w:basedOn w:val="Normal"/>
    <w:link w:val="FooterChar"/>
    <w:uiPriority w:val="99"/>
    <w:unhideWhenUsed/>
    <w:rsid w:val="00E56956"/>
    <w:pPr>
      <w:tabs>
        <w:tab w:val="center" w:pos="4680"/>
        <w:tab w:val="right" w:pos="9360"/>
      </w:tabs>
    </w:pPr>
  </w:style>
  <w:style w:type="character" w:customStyle="1" w:styleId="FooterChar">
    <w:name w:val="Footer Char"/>
    <w:basedOn w:val="DefaultParagraphFont"/>
    <w:link w:val="Footer"/>
    <w:uiPriority w:val="99"/>
    <w:rsid w:val="00E56956"/>
    <w:rPr>
      <w:rFonts w:ascii="Calibri" w:hAnsi="Calibri" w:cs="Times New Roman"/>
    </w:rPr>
  </w:style>
  <w:style w:type="character" w:customStyle="1" w:styleId="Heading1Char">
    <w:name w:val="Heading 1 Char"/>
    <w:basedOn w:val="DefaultParagraphFont"/>
    <w:link w:val="Heading1"/>
    <w:uiPriority w:val="9"/>
    <w:rsid w:val="00FD42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4251"/>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D820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51315">
      <w:bodyDiv w:val="1"/>
      <w:marLeft w:val="0"/>
      <w:marRight w:val="0"/>
      <w:marTop w:val="0"/>
      <w:marBottom w:val="0"/>
      <w:divBdr>
        <w:top w:val="none" w:sz="0" w:space="0" w:color="auto"/>
        <w:left w:val="none" w:sz="0" w:space="0" w:color="auto"/>
        <w:bottom w:val="none" w:sz="0" w:space="0" w:color="auto"/>
        <w:right w:val="none" w:sz="0" w:space="0" w:color="auto"/>
      </w:divBdr>
    </w:div>
    <w:div w:id="15400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rc.org/contact-center/dire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zview.wa.gov/site/alias__1965/37121/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rc.org/sites/default/files/centers_small_0.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29AF-B987-4F3C-B8DA-E2245E77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Linda (COM)</dc:creator>
  <cp:keywords/>
  <dc:description/>
  <cp:lastModifiedBy>Bentley, Linda (COM)</cp:lastModifiedBy>
  <cp:revision>6</cp:revision>
  <dcterms:created xsi:type="dcterms:W3CDTF">2017-10-30T18:41:00Z</dcterms:created>
  <dcterms:modified xsi:type="dcterms:W3CDTF">2017-11-29T22:52:00Z</dcterms:modified>
</cp:coreProperties>
</file>