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C715A" w14:textId="1EA6944F" w:rsidR="002F6338" w:rsidRDefault="002F6338" w:rsidP="002F6338">
      <w:pPr>
        <w:pStyle w:val="Heading2"/>
      </w:pPr>
      <w:bookmarkStart w:id="0" w:name="_Toc62659725"/>
      <w:bookmarkStart w:id="1" w:name="_GoBack"/>
      <w:bookmarkEnd w:id="1"/>
      <w:r>
        <w:t xml:space="preserve">Outreach Compensation Policy and Procedures </w:t>
      </w:r>
      <w:r w:rsidRPr="00E15919">
        <w:rPr>
          <w:b w:val="0"/>
          <w:bCs w:val="0"/>
        </w:rPr>
        <w:t xml:space="preserve">(For </w:t>
      </w:r>
      <w:r w:rsidR="00A858EC">
        <w:rPr>
          <w:b w:val="0"/>
          <w:bCs w:val="0"/>
        </w:rPr>
        <w:t>community based</w:t>
      </w:r>
      <w:r w:rsidR="00346A18">
        <w:rPr>
          <w:b w:val="0"/>
          <w:bCs w:val="0"/>
        </w:rPr>
        <w:t xml:space="preserve"> organizations, </w:t>
      </w:r>
      <w:r>
        <w:rPr>
          <w:b w:val="0"/>
          <w:bCs w:val="0"/>
        </w:rPr>
        <w:t>f</w:t>
      </w:r>
      <w:r w:rsidRPr="00E15919">
        <w:rPr>
          <w:b w:val="0"/>
          <w:bCs w:val="0"/>
        </w:rPr>
        <w:t xml:space="preserve">ocus </w:t>
      </w:r>
      <w:r>
        <w:rPr>
          <w:b w:val="0"/>
          <w:bCs w:val="0"/>
        </w:rPr>
        <w:t>g</w:t>
      </w:r>
      <w:r w:rsidRPr="00E15919">
        <w:rPr>
          <w:b w:val="0"/>
          <w:bCs w:val="0"/>
        </w:rPr>
        <w:t>roup</w:t>
      </w:r>
      <w:r w:rsidR="00921300">
        <w:rPr>
          <w:b w:val="0"/>
          <w:bCs w:val="0"/>
        </w:rPr>
        <w:t>s, working groups,</w:t>
      </w:r>
      <w:r w:rsidRPr="00E15919">
        <w:rPr>
          <w:b w:val="0"/>
          <w:bCs w:val="0"/>
        </w:rPr>
        <w:t xml:space="preserve"> </w:t>
      </w:r>
      <w:r>
        <w:rPr>
          <w:b w:val="0"/>
          <w:bCs w:val="0"/>
        </w:rPr>
        <w:t>c</w:t>
      </w:r>
      <w:r w:rsidRPr="00E15919">
        <w:rPr>
          <w:b w:val="0"/>
          <w:bCs w:val="0"/>
        </w:rPr>
        <w:t xml:space="preserve">ommittee </w:t>
      </w:r>
      <w:r>
        <w:rPr>
          <w:b w:val="0"/>
          <w:bCs w:val="0"/>
        </w:rPr>
        <w:t>m</w:t>
      </w:r>
      <w:r w:rsidRPr="00E15919">
        <w:rPr>
          <w:b w:val="0"/>
          <w:bCs w:val="0"/>
        </w:rPr>
        <w:t>ember</w:t>
      </w:r>
      <w:r>
        <w:rPr>
          <w:b w:val="0"/>
          <w:bCs w:val="0"/>
        </w:rPr>
        <w:t>s</w:t>
      </w:r>
      <w:r w:rsidRPr="00E15919">
        <w:rPr>
          <w:b w:val="0"/>
          <w:bCs w:val="0"/>
        </w:rPr>
        <w:t xml:space="preserve">, </w:t>
      </w:r>
      <w:r>
        <w:rPr>
          <w:b w:val="0"/>
          <w:bCs w:val="0"/>
        </w:rPr>
        <w:t>participation in s</w:t>
      </w:r>
      <w:r w:rsidRPr="002F6338">
        <w:rPr>
          <w:b w:val="0"/>
          <w:bCs w:val="0"/>
        </w:rPr>
        <w:t>urv</w:t>
      </w:r>
      <w:r>
        <w:rPr>
          <w:b w:val="0"/>
          <w:bCs w:val="0"/>
        </w:rPr>
        <w:t>ey</w:t>
      </w:r>
      <w:r w:rsidRPr="002F6338">
        <w:rPr>
          <w:b w:val="0"/>
          <w:bCs w:val="0"/>
        </w:rPr>
        <w:t>s,</w:t>
      </w:r>
      <w:r w:rsidRPr="00E15919">
        <w:rPr>
          <w:b w:val="0"/>
          <w:bCs w:val="0"/>
        </w:rPr>
        <w:t xml:space="preserve"> and </w:t>
      </w:r>
      <w:r>
        <w:rPr>
          <w:b w:val="0"/>
          <w:bCs w:val="0"/>
        </w:rPr>
        <w:t>i</w:t>
      </w:r>
      <w:r w:rsidRPr="00E15919">
        <w:rPr>
          <w:b w:val="0"/>
          <w:bCs w:val="0"/>
        </w:rPr>
        <w:t>nterviews)</w:t>
      </w:r>
      <w:r>
        <w:t xml:space="preserve"> </w:t>
      </w:r>
      <w:bookmarkEnd w:id="0"/>
    </w:p>
    <w:p w14:paraId="25D564F6" w14:textId="77777777" w:rsidR="002F6338" w:rsidRDefault="002F6338" w:rsidP="002F6338"/>
    <w:p w14:paraId="068EEDFD" w14:textId="48DF109D" w:rsidR="002F6338" w:rsidRDefault="00AC5181" w:rsidP="002F6338">
      <w:r>
        <w:t xml:space="preserve"> </w:t>
      </w:r>
      <w:r w:rsidR="0031008B">
        <w:t>June</w:t>
      </w:r>
      <w:r>
        <w:t xml:space="preserve"> 2022</w:t>
      </w:r>
    </w:p>
    <w:p w14:paraId="344CB45D" w14:textId="77777777" w:rsidR="002F6338" w:rsidRDefault="002F6338" w:rsidP="002F6338"/>
    <w:p w14:paraId="7DB02920" w14:textId="77777777" w:rsidR="002F6338" w:rsidRPr="00585ED3" w:rsidRDefault="002F6338" w:rsidP="002F6338">
      <w:pPr>
        <w:rPr>
          <w:rFonts w:cs="Arial"/>
          <w:b/>
          <w:bCs/>
        </w:rPr>
      </w:pPr>
      <w:r w:rsidRPr="00585ED3">
        <w:rPr>
          <w:rFonts w:cs="Arial"/>
          <w:b/>
          <w:bCs/>
        </w:rPr>
        <w:t>Purpose</w:t>
      </w:r>
    </w:p>
    <w:p w14:paraId="68B6AE35" w14:textId="6EF06928" w:rsidR="002F6338" w:rsidRPr="00585ED3" w:rsidRDefault="002F6338" w:rsidP="002F6338">
      <w:pPr>
        <w:rPr>
          <w:rFonts w:cs="Arial"/>
        </w:rPr>
      </w:pPr>
      <w:r w:rsidRPr="00585ED3">
        <w:rPr>
          <w:rFonts w:cs="Arial"/>
        </w:rPr>
        <w:t>To establish a policy and procedures for compensating focus group or committee members who are not compensated by their employers for participating in PSRC</w:t>
      </w:r>
      <w:r w:rsidR="00E15919">
        <w:rPr>
          <w:rFonts w:cs="Arial"/>
        </w:rPr>
        <w:t>-</w:t>
      </w:r>
      <w:r w:rsidRPr="00585ED3">
        <w:rPr>
          <w:rFonts w:cs="Arial"/>
        </w:rPr>
        <w:t>funded meetings</w:t>
      </w:r>
      <w:r w:rsidR="00482745">
        <w:rPr>
          <w:rFonts w:cs="Arial"/>
        </w:rPr>
        <w:t xml:space="preserve">; </w:t>
      </w:r>
      <w:r>
        <w:rPr>
          <w:rFonts w:cs="Arial"/>
        </w:rPr>
        <w:t>compensating for participation in surveys and interviews by members of the public</w:t>
      </w:r>
      <w:r w:rsidR="00482745">
        <w:rPr>
          <w:rFonts w:cs="Arial"/>
        </w:rPr>
        <w:t xml:space="preserve">; and compensating Community Based Organizations (CBO) directly to encourage </w:t>
      </w:r>
      <w:r w:rsidR="00FC6823">
        <w:rPr>
          <w:rFonts w:cs="Arial"/>
        </w:rPr>
        <w:t xml:space="preserve">participation in </w:t>
      </w:r>
      <w:r w:rsidR="00482745">
        <w:rPr>
          <w:rFonts w:cs="Arial"/>
        </w:rPr>
        <w:t>PSRC outreach</w:t>
      </w:r>
      <w:r w:rsidRPr="00585ED3">
        <w:rPr>
          <w:rFonts w:cs="Arial"/>
        </w:rPr>
        <w:t xml:space="preserve">. </w:t>
      </w:r>
    </w:p>
    <w:p w14:paraId="4346134D" w14:textId="77777777" w:rsidR="002F6338" w:rsidRDefault="002F6338" w:rsidP="002F6338">
      <w:pPr>
        <w:rPr>
          <w:rFonts w:cs="Arial"/>
          <w:b/>
          <w:bCs/>
        </w:rPr>
      </w:pPr>
    </w:p>
    <w:p w14:paraId="3379BF84" w14:textId="720AF9A7" w:rsidR="002F6338" w:rsidRPr="00E15919" w:rsidRDefault="002F6338" w:rsidP="002F6338">
      <w:pPr>
        <w:rPr>
          <w:rFonts w:cs="Arial"/>
          <w:b/>
          <w:bCs/>
        </w:rPr>
      </w:pPr>
      <w:r w:rsidRPr="00E15919">
        <w:rPr>
          <w:rFonts w:cs="Arial"/>
          <w:b/>
          <w:bCs/>
        </w:rPr>
        <w:t>Definitions</w:t>
      </w:r>
    </w:p>
    <w:p w14:paraId="63FA0E33" w14:textId="173BB89B" w:rsidR="002F6338" w:rsidRPr="00E15919" w:rsidRDefault="002F6338" w:rsidP="00E15919">
      <w:pPr>
        <w:ind w:firstLine="180"/>
        <w:rPr>
          <w:rFonts w:cs="Arial"/>
        </w:rPr>
      </w:pPr>
      <w:r w:rsidRPr="00E15919">
        <w:rPr>
          <w:rFonts w:cs="Arial"/>
          <w:u w:val="single"/>
        </w:rPr>
        <w:t>Focus Group</w:t>
      </w:r>
      <w:r w:rsidR="00BF67F8">
        <w:rPr>
          <w:rFonts w:cs="Arial"/>
          <w:u w:val="single"/>
        </w:rPr>
        <w:t xml:space="preserve"> and Community Meeting</w:t>
      </w:r>
      <w:r w:rsidRPr="00E15919">
        <w:rPr>
          <w:rFonts w:cs="Arial"/>
        </w:rPr>
        <w:t>:</w:t>
      </w:r>
      <w:r w:rsidR="0028397D" w:rsidRPr="00E15919">
        <w:rPr>
          <w:rFonts w:cs="Arial"/>
        </w:rPr>
        <w:t xml:space="preserve"> </w:t>
      </w:r>
      <w:r w:rsidR="0028397D" w:rsidRPr="00E15919">
        <w:t>A small group of people that meet for a limited period of time to participate in a guided discussion, providing insights on a policy, product, strategy, etc</w:t>
      </w:r>
      <w:r w:rsidR="00532330">
        <w:t>.,</w:t>
      </w:r>
      <w:r w:rsidR="004B0A2A">
        <w:t xml:space="preserve"> either in-person or virtually</w:t>
      </w:r>
      <w:r w:rsidR="0028397D" w:rsidRPr="00E15919">
        <w:t>.</w:t>
      </w:r>
      <w:r w:rsidR="004B0A2A">
        <w:t xml:space="preserve"> This type of group is used to </w:t>
      </w:r>
      <w:r w:rsidR="0036607E">
        <w:t>understand different perspectives and</w:t>
      </w:r>
      <w:r w:rsidR="004B0A2A">
        <w:t xml:space="preserve"> priorities </w:t>
      </w:r>
      <w:r w:rsidR="0036607E">
        <w:t xml:space="preserve">that may affect a </w:t>
      </w:r>
      <w:r w:rsidR="004B0A2A">
        <w:t xml:space="preserve">project scope or get feedback </w:t>
      </w:r>
      <w:r w:rsidR="0036607E">
        <w:t xml:space="preserve">on draft proposals or direction at any time </w:t>
      </w:r>
      <w:r w:rsidR="004B0A2A">
        <w:t xml:space="preserve">throughout a project. </w:t>
      </w:r>
      <w:r w:rsidR="00532330">
        <w:t>These groups typically meet for 1-2 hours per session, one or more times as needed.</w:t>
      </w:r>
    </w:p>
    <w:p w14:paraId="1ED01906" w14:textId="687CDB87" w:rsidR="002F6338" w:rsidRDefault="002F6338" w:rsidP="00E15919">
      <w:pPr>
        <w:ind w:firstLine="180"/>
      </w:pPr>
      <w:r w:rsidRPr="00E15919">
        <w:rPr>
          <w:rFonts w:cs="Arial"/>
          <w:u w:val="single"/>
        </w:rPr>
        <w:t>Committee</w:t>
      </w:r>
      <w:r w:rsidR="00532330">
        <w:rPr>
          <w:rFonts w:cs="Arial"/>
          <w:u w:val="single"/>
        </w:rPr>
        <w:t xml:space="preserve"> and Working Group</w:t>
      </w:r>
      <w:r w:rsidRPr="00E15919">
        <w:rPr>
          <w:rFonts w:cs="Arial"/>
        </w:rPr>
        <w:t>:</w:t>
      </w:r>
      <w:r w:rsidR="0028397D" w:rsidRPr="00E15919">
        <w:rPr>
          <w:rFonts w:cs="Arial"/>
        </w:rPr>
        <w:t xml:space="preserve"> </w:t>
      </w:r>
      <w:r w:rsidR="00532330">
        <w:t>Both are</w:t>
      </w:r>
      <w:r w:rsidR="0028397D" w:rsidRPr="00E15919">
        <w:t xml:space="preserve"> long-standing group</w:t>
      </w:r>
      <w:r w:rsidR="00532330">
        <w:t>s</w:t>
      </w:r>
      <w:r w:rsidR="0028397D" w:rsidRPr="00E15919">
        <w:t xml:space="preserve"> of people representing the perspectives of jurisdictions or interest groups, appointed by the agency to discuss key issues, make recommendations, and/or complete tasks concerning a particular subject.</w:t>
      </w:r>
      <w:r w:rsidR="00532330">
        <w:t xml:space="preserve"> Working groups tend to meet for 1-2 hours per session over a </w:t>
      </w:r>
      <w:r w:rsidR="00A456AB">
        <w:t>6-to-18-month</w:t>
      </w:r>
      <w:r w:rsidR="00532330">
        <w:t xml:space="preserve"> period of time and generally require prep and post-meeting follow up time. Committee groups meet for 1-2 hours per session, but over a longer </w:t>
      </w:r>
      <w:r w:rsidR="00B95DFE">
        <w:t>1-3</w:t>
      </w:r>
      <w:r w:rsidR="00532330">
        <w:t>-year period of time and usually require participation by subject matter experts and jurisdictions, also requiring prep and post-meeting follow up time</w:t>
      </w:r>
      <w:r w:rsidR="0036607E">
        <w:t>. A Committee can also be a permanent standing group that works with and advises PSRC</w:t>
      </w:r>
      <w:r w:rsidR="00532330">
        <w:t>.</w:t>
      </w:r>
    </w:p>
    <w:p w14:paraId="3E43DAA4" w14:textId="77777777" w:rsidR="00791150" w:rsidRDefault="005E50A9" w:rsidP="00E15919">
      <w:pPr>
        <w:ind w:firstLine="180"/>
        <w:rPr>
          <w:rFonts w:cs="Arial"/>
        </w:rPr>
      </w:pPr>
      <w:r w:rsidRPr="006B6B68">
        <w:rPr>
          <w:u w:val="single"/>
        </w:rPr>
        <w:t>Community Based Organization</w:t>
      </w:r>
      <w:r>
        <w:t xml:space="preserve">: </w:t>
      </w:r>
      <w:r w:rsidRPr="000C5CF9">
        <w:rPr>
          <w:rFonts w:cs="Arial"/>
        </w:rPr>
        <w:t xml:space="preserve">A </w:t>
      </w:r>
      <w:r w:rsidR="000C5CF9" w:rsidRPr="006B6B68">
        <w:rPr>
          <w:rFonts w:cs="Arial"/>
        </w:rPr>
        <w:t>Community Based Organization (CBO) refers to</w:t>
      </w:r>
      <w:r w:rsidR="004F4B24">
        <w:rPr>
          <w:rFonts w:cs="Arial"/>
        </w:rPr>
        <w:t xml:space="preserve"> an</w:t>
      </w:r>
      <w:r w:rsidR="000C5CF9" w:rsidRPr="006B6B68">
        <w:rPr>
          <w:rFonts w:cs="Arial"/>
        </w:rPr>
        <w:t xml:space="preserve"> organization aimed at making desired improvements to a community's social health, well-being, and overall functioning. Community organization occurs in geographically, psychosocially, culturally, spiritually, and digitally bounded communities.</w:t>
      </w:r>
      <w:r w:rsidR="000C5CF9">
        <w:rPr>
          <w:rFonts w:ascii="Roboto" w:hAnsi="Roboto"/>
          <w:color w:val="4D5156"/>
          <w:sz w:val="21"/>
          <w:szCs w:val="21"/>
          <w:shd w:val="clear" w:color="auto" w:fill="FFFFFF"/>
        </w:rPr>
        <w:t xml:space="preserve"> </w:t>
      </w:r>
      <w:r>
        <w:rPr>
          <w:rFonts w:cs="Arial"/>
        </w:rPr>
        <w:t>CBOs work closely with the community and are better able to identify the needs of the residents.</w:t>
      </w:r>
      <w:r w:rsidR="007B6855">
        <w:rPr>
          <w:rFonts w:cs="Arial"/>
        </w:rPr>
        <w:t xml:space="preserve"> </w:t>
      </w:r>
    </w:p>
    <w:p w14:paraId="14F7BFE7" w14:textId="3DF0693B" w:rsidR="00791150" w:rsidRDefault="00791150" w:rsidP="00E15919">
      <w:pPr>
        <w:ind w:firstLine="180"/>
        <w:rPr>
          <w:rFonts w:cs="Arial"/>
        </w:rPr>
      </w:pPr>
      <w:r w:rsidRPr="0031008B">
        <w:rPr>
          <w:rFonts w:cs="Arial"/>
        </w:rPr>
        <w:t>At PSRC’s dis</w:t>
      </w:r>
      <w:r w:rsidR="00CB6358" w:rsidRPr="00862FEB">
        <w:rPr>
          <w:rFonts w:cs="Arial"/>
        </w:rPr>
        <w:t>c</w:t>
      </w:r>
      <w:r w:rsidR="00F5640D" w:rsidRPr="00862FEB">
        <w:rPr>
          <w:rFonts w:cs="Arial"/>
        </w:rPr>
        <w:t>re</w:t>
      </w:r>
      <w:r w:rsidR="00CB6358" w:rsidRPr="00862FEB">
        <w:rPr>
          <w:rFonts w:cs="Arial"/>
        </w:rPr>
        <w:t>t</w:t>
      </w:r>
      <w:r w:rsidR="00F5640D" w:rsidRPr="00862FEB">
        <w:rPr>
          <w:rFonts w:cs="Arial"/>
        </w:rPr>
        <w:t>ion</w:t>
      </w:r>
      <w:r w:rsidRPr="0031008B">
        <w:rPr>
          <w:rFonts w:cs="Arial"/>
        </w:rPr>
        <w:t>, the in</w:t>
      </w:r>
      <w:r w:rsidR="00F5640D" w:rsidRPr="00862FEB">
        <w:rPr>
          <w:rFonts w:cs="Arial"/>
        </w:rPr>
        <w:t>te</w:t>
      </w:r>
      <w:r w:rsidRPr="0031008B">
        <w:rPr>
          <w:rFonts w:cs="Arial"/>
        </w:rPr>
        <w:t>ntion of this policy is to enable small or overburdened organizations to provide expertise and insight to PSRC when they otherwise couldn’t due to limited financial resources.</w:t>
      </w:r>
    </w:p>
    <w:p w14:paraId="18FEBCC3" w14:textId="24663009" w:rsidR="005E50A9" w:rsidRPr="00E15919" w:rsidRDefault="00584AFC" w:rsidP="00E15919">
      <w:pPr>
        <w:ind w:firstLine="180"/>
        <w:rPr>
          <w:rFonts w:cs="Arial"/>
        </w:rPr>
      </w:pPr>
      <w:hyperlink r:id="rId6" w:history="1">
        <w:r w:rsidRPr="00862FEB">
          <w:rPr>
            <w:rFonts w:cs="Arial"/>
          </w:rPr>
          <w:t>An eligible</w:t>
        </w:r>
      </w:hyperlink>
      <w:r w:rsidRPr="00862FEB">
        <w:rPr>
          <w:rFonts w:cs="Arial"/>
        </w:rPr>
        <w:t> CBO will be a private non-profit 501(c</w:t>
      </w:r>
      <w:proofErr w:type="gramStart"/>
      <w:r w:rsidRPr="00862FEB">
        <w:rPr>
          <w:rFonts w:cs="Arial"/>
        </w:rPr>
        <w:t>)3</w:t>
      </w:r>
      <w:proofErr w:type="gramEnd"/>
      <w:r w:rsidRPr="00862FEB">
        <w:rPr>
          <w:rFonts w:cs="Arial"/>
        </w:rPr>
        <w:t xml:space="preserve"> organization </w:t>
      </w:r>
      <w:r w:rsidR="00D62DA7" w:rsidRPr="00862FEB">
        <w:rPr>
          <w:rFonts w:cs="Arial"/>
        </w:rPr>
        <w:t xml:space="preserve">or locally established entity </w:t>
      </w:r>
      <w:r w:rsidRPr="00862FEB">
        <w:rPr>
          <w:rFonts w:cs="Arial"/>
        </w:rPr>
        <w:t xml:space="preserve">which is representative of a community or significant segments of a community </w:t>
      </w:r>
      <w:r w:rsidR="00D62DA7" w:rsidRPr="00862FEB">
        <w:rPr>
          <w:rFonts w:cs="Arial"/>
        </w:rPr>
        <w:t xml:space="preserve">in the Puget Sound area </w:t>
      </w:r>
      <w:r w:rsidRPr="00862FEB">
        <w:rPr>
          <w:rFonts w:cs="Arial"/>
        </w:rPr>
        <w:t>and which provides educational or other related basic human services to individuals in the community.</w:t>
      </w:r>
      <w:r w:rsidR="00D62DA7">
        <w:rPr>
          <w:rFonts w:cs="Arial"/>
        </w:rPr>
        <w:t xml:space="preserve"> </w:t>
      </w:r>
      <w:bookmarkStart w:id="2" w:name="_Hlk104987166"/>
      <w:r w:rsidR="000A2018" w:rsidRPr="000A2018">
        <w:rPr>
          <w:rFonts w:cs="Arial"/>
        </w:rPr>
        <w:t>(</w:t>
      </w:r>
      <w:r w:rsidR="00D62DA7" w:rsidRPr="000A2018">
        <w:rPr>
          <w:rFonts w:cs="Arial"/>
        </w:rPr>
        <w:t xml:space="preserve">Examples </w:t>
      </w:r>
      <w:r w:rsidR="008F36C8" w:rsidRPr="000A2018">
        <w:rPr>
          <w:rFonts w:cs="Arial"/>
        </w:rPr>
        <w:t xml:space="preserve">of CBOs </w:t>
      </w:r>
      <w:r w:rsidR="00D62DA7" w:rsidRPr="000A2018">
        <w:rPr>
          <w:rFonts w:cs="Arial"/>
        </w:rPr>
        <w:t>include</w:t>
      </w:r>
      <w:r w:rsidR="000A2018" w:rsidRPr="000A2018">
        <w:rPr>
          <w:rFonts w:cs="Arial"/>
        </w:rPr>
        <w:t xml:space="preserve"> Africatown Seattle, Compass Housing Alliance, and </w:t>
      </w:r>
      <w:proofErr w:type="spellStart"/>
      <w:r w:rsidR="000A2018" w:rsidRPr="000A2018">
        <w:rPr>
          <w:rFonts w:cs="Arial"/>
        </w:rPr>
        <w:t>HomeSight</w:t>
      </w:r>
      <w:proofErr w:type="spellEnd"/>
      <w:r w:rsidR="000A2018" w:rsidRPr="000A2018">
        <w:rPr>
          <w:rFonts w:cs="Arial"/>
        </w:rPr>
        <w:t>)</w:t>
      </w:r>
      <w:bookmarkEnd w:id="2"/>
    </w:p>
    <w:p w14:paraId="35A7B597" w14:textId="7D913EC9" w:rsidR="002F6338" w:rsidRDefault="002F6338" w:rsidP="00E15919">
      <w:pPr>
        <w:ind w:firstLine="180"/>
        <w:rPr>
          <w:rFonts w:cs="Arial"/>
        </w:rPr>
      </w:pPr>
      <w:r w:rsidRPr="00E15919">
        <w:rPr>
          <w:rFonts w:cs="Arial"/>
          <w:u w:val="single"/>
        </w:rPr>
        <w:t>Survey</w:t>
      </w:r>
      <w:r w:rsidRPr="00E15919">
        <w:rPr>
          <w:rFonts w:cs="Arial"/>
        </w:rPr>
        <w:t>: A questionnaire</w:t>
      </w:r>
      <w:r w:rsidR="00532330">
        <w:rPr>
          <w:rFonts w:cs="Arial"/>
        </w:rPr>
        <w:t xml:space="preserve"> used to inform a project</w:t>
      </w:r>
      <w:r w:rsidR="003632CD" w:rsidRPr="00E15919">
        <w:rPr>
          <w:rFonts w:cs="Arial"/>
        </w:rPr>
        <w:t xml:space="preserve">, generally </w:t>
      </w:r>
      <w:r w:rsidRPr="00E15919">
        <w:rPr>
          <w:rFonts w:cs="Arial"/>
        </w:rPr>
        <w:t>multiple choice and/or short answer</w:t>
      </w:r>
      <w:r w:rsidR="00532330">
        <w:rPr>
          <w:rFonts w:cs="Arial"/>
        </w:rPr>
        <w:t xml:space="preserve"> and</w:t>
      </w:r>
      <w:r w:rsidRPr="00E15919">
        <w:rPr>
          <w:rFonts w:cs="Arial"/>
        </w:rPr>
        <w:t xml:space="preserve"> distributed by email, phone</w:t>
      </w:r>
      <w:r w:rsidR="00532330">
        <w:rPr>
          <w:rFonts w:cs="Arial"/>
        </w:rPr>
        <w:t>, in-person</w:t>
      </w:r>
      <w:r w:rsidRPr="00E15919">
        <w:rPr>
          <w:rFonts w:cs="Arial"/>
        </w:rPr>
        <w:t xml:space="preserve"> or mail </w:t>
      </w:r>
      <w:r w:rsidR="00E15919">
        <w:rPr>
          <w:rFonts w:cs="Arial"/>
        </w:rPr>
        <w:t>with participants</w:t>
      </w:r>
      <w:r w:rsidR="00E15919" w:rsidRPr="00E15919">
        <w:rPr>
          <w:rFonts w:cs="Arial"/>
        </w:rPr>
        <w:t xml:space="preserve"> </w:t>
      </w:r>
      <w:r w:rsidR="0036607E">
        <w:rPr>
          <w:rFonts w:cs="Arial"/>
        </w:rPr>
        <w:t xml:space="preserve">typically </w:t>
      </w:r>
      <w:r w:rsidR="00E15919" w:rsidRPr="00E15919">
        <w:rPr>
          <w:rFonts w:cs="Arial"/>
        </w:rPr>
        <w:t>selected at r</w:t>
      </w:r>
      <w:r w:rsidR="006539D5" w:rsidRPr="00E15919">
        <w:rPr>
          <w:rFonts w:cs="Arial"/>
        </w:rPr>
        <w:t>andom</w:t>
      </w:r>
      <w:r w:rsidR="00532330">
        <w:rPr>
          <w:rFonts w:cs="Arial"/>
        </w:rPr>
        <w:t xml:space="preserve"> based on their address or demographics</w:t>
      </w:r>
      <w:r w:rsidR="00E15919" w:rsidRPr="00E15919">
        <w:rPr>
          <w:rFonts w:cs="Arial"/>
        </w:rPr>
        <w:t>.</w:t>
      </w:r>
    </w:p>
    <w:p w14:paraId="527211CE" w14:textId="52074827" w:rsidR="002F6338" w:rsidRPr="00E15919" w:rsidRDefault="002F6338" w:rsidP="00E15919">
      <w:pPr>
        <w:ind w:firstLine="180"/>
        <w:rPr>
          <w:rFonts w:cs="Arial"/>
        </w:rPr>
      </w:pPr>
      <w:r w:rsidRPr="00E15919">
        <w:rPr>
          <w:rFonts w:cs="Arial"/>
          <w:u w:val="single"/>
        </w:rPr>
        <w:lastRenderedPageBreak/>
        <w:t>Interview</w:t>
      </w:r>
      <w:r>
        <w:rPr>
          <w:rFonts w:cs="Arial"/>
        </w:rPr>
        <w:t xml:space="preserve">: A </w:t>
      </w:r>
      <w:r w:rsidR="007E4064">
        <w:rPr>
          <w:rFonts w:cs="Arial"/>
        </w:rPr>
        <w:t xml:space="preserve">one-on-one </w:t>
      </w:r>
      <w:r>
        <w:rPr>
          <w:rFonts w:cs="Arial"/>
        </w:rPr>
        <w:t>telephone</w:t>
      </w:r>
      <w:r w:rsidR="0036607E">
        <w:rPr>
          <w:rFonts w:cs="Arial"/>
        </w:rPr>
        <w:t>,</w:t>
      </w:r>
      <w:r w:rsidR="00761F84">
        <w:rPr>
          <w:rFonts w:cs="Arial"/>
        </w:rPr>
        <w:t xml:space="preserve"> </w:t>
      </w:r>
      <w:r>
        <w:rPr>
          <w:rFonts w:cs="Arial"/>
        </w:rPr>
        <w:t>virtual</w:t>
      </w:r>
      <w:r w:rsidR="0036607E">
        <w:rPr>
          <w:rFonts w:cs="Arial"/>
        </w:rPr>
        <w:t>,</w:t>
      </w:r>
      <w:r w:rsidR="004B0A2A">
        <w:rPr>
          <w:rFonts w:cs="Arial"/>
        </w:rPr>
        <w:t xml:space="preserve"> or in-person</w:t>
      </w:r>
      <w:r>
        <w:rPr>
          <w:rFonts w:cs="Arial"/>
        </w:rPr>
        <w:t xml:space="preserve"> meeting</w:t>
      </w:r>
      <w:r w:rsidR="003632CD">
        <w:rPr>
          <w:rFonts w:cs="Arial"/>
        </w:rPr>
        <w:t xml:space="preserve">, </w:t>
      </w:r>
      <w:r w:rsidR="0036607E">
        <w:rPr>
          <w:rFonts w:cs="Arial"/>
        </w:rPr>
        <w:t xml:space="preserve">sometimes as </w:t>
      </w:r>
      <w:r w:rsidR="003632CD">
        <w:rPr>
          <w:rFonts w:cs="Arial"/>
        </w:rPr>
        <w:t>follow</w:t>
      </w:r>
      <w:r w:rsidR="0036607E">
        <w:rPr>
          <w:rFonts w:cs="Arial"/>
        </w:rPr>
        <w:t>-up to</w:t>
      </w:r>
      <w:r w:rsidR="003632CD">
        <w:rPr>
          <w:rFonts w:cs="Arial"/>
        </w:rPr>
        <w:t xml:space="preserve"> a survey</w:t>
      </w:r>
      <w:r w:rsidR="007E4064">
        <w:rPr>
          <w:rFonts w:cs="Arial"/>
        </w:rPr>
        <w:t>, to solicit detailed information</w:t>
      </w:r>
      <w:r w:rsidR="0036607E">
        <w:rPr>
          <w:rFonts w:cs="Arial"/>
        </w:rPr>
        <w:t>, clarify data or community perspectives,</w:t>
      </w:r>
      <w:r w:rsidR="007E4064">
        <w:rPr>
          <w:rFonts w:cs="Arial"/>
        </w:rPr>
        <w:t xml:space="preserve"> or </w:t>
      </w:r>
      <w:r w:rsidR="0036607E">
        <w:rPr>
          <w:rFonts w:cs="Arial"/>
        </w:rPr>
        <w:t xml:space="preserve">obtain </w:t>
      </w:r>
      <w:r w:rsidR="007E4064">
        <w:rPr>
          <w:rFonts w:cs="Arial"/>
        </w:rPr>
        <w:t>feedback on a process</w:t>
      </w:r>
      <w:r>
        <w:rPr>
          <w:rFonts w:cs="Arial"/>
        </w:rPr>
        <w:t>.</w:t>
      </w:r>
    </w:p>
    <w:p w14:paraId="1BB68F39" w14:textId="77777777" w:rsidR="002F6338" w:rsidRDefault="002F6338" w:rsidP="002F6338">
      <w:pPr>
        <w:rPr>
          <w:rFonts w:cs="Arial"/>
          <w:b/>
          <w:bCs/>
        </w:rPr>
      </w:pPr>
    </w:p>
    <w:p w14:paraId="725F47F6" w14:textId="245F34D9" w:rsidR="002F6338" w:rsidRPr="00585ED3" w:rsidRDefault="002F6338" w:rsidP="002F6338">
      <w:pPr>
        <w:rPr>
          <w:rFonts w:cs="Arial"/>
          <w:b/>
          <w:bCs/>
        </w:rPr>
      </w:pPr>
      <w:r w:rsidRPr="00585ED3">
        <w:rPr>
          <w:rFonts w:cs="Arial"/>
          <w:b/>
          <w:bCs/>
        </w:rPr>
        <w:t>Polic</w:t>
      </w:r>
      <w:r w:rsidR="009F73F3">
        <w:rPr>
          <w:rFonts w:cs="Arial"/>
          <w:b/>
          <w:bCs/>
        </w:rPr>
        <w:t>y</w:t>
      </w:r>
    </w:p>
    <w:p w14:paraId="4C58A426" w14:textId="6DB30819" w:rsidR="002F6338" w:rsidRDefault="003632CD" w:rsidP="002F6338">
      <w:pPr>
        <w:rPr>
          <w:rFonts w:cs="Arial"/>
        </w:rPr>
      </w:pPr>
      <w:r w:rsidRPr="009F73F3">
        <w:rPr>
          <w:rFonts w:cs="Arial"/>
          <w:u w:val="single"/>
        </w:rPr>
        <w:t>Focus Groups</w:t>
      </w:r>
      <w:r w:rsidR="00921300">
        <w:rPr>
          <w:rFonts w:cs="Arial"/>
          <w:u w:val="single"/>
        </w:rPr>
        <w:t>, Working Groups</w:t>
      </w:r>
      <w:r w:rsidRPr="009F73F3">
        <w:rPr>
          <w:rFonts w:cs="Arial"/>
          <w:u w:val="single"/>
        </w:rPr>
        <w:t xml:space="preserve"> and Committees</w:t>
      </w:r>
      <w:r>
        <w:rPr>
          <w:rFonts w:cs="Arial"/>
        </w:rPr>
        <w:t>:</w:t>
      </w:r>
    </w:p>
    <w:p w14:paraId="1D5A1AA4" w14:textId="192E42E2" w:rsidR="002F6338" w:rsidRPr="00585ED3" w:rsidRDefault="002F6338" w:rsidP="002F6338">
      <w:pPr>
        <w:rPr>
          <w:rFonts w:cs="Arial"/>
        </w:rPr>
      </w:pPr>
      <w:r w:rsidRPr="00585ED3">
        <w:rPr>
          <w:rFonts w:cs="Arial"/>
        </w:rPr>
        <w:t>Members of focus groups/committees who are not already being compensated by their employers or other organizations for participating in PSRC</w:t>
      </w:r>
      <w:r w:rsidR="00B95DFE">
        <w:rPr>
          <w:rFonts w:cs="Arial"/>
        </w:rPr>
        <w:t>-</w:t>
      </w:r>
      <w:r w:rsidRPr="00585ED3">
        <w:rPr>
          <w:rFonts w:cs="Arial"/>
        </w:rPr>
        <w:t xml:space="preserve">funded meetings </w:t>
      </w:r>
      <w:r>
        <w:rPr>
          <w:rFonts w:cs="Arial"/>
        </w:rPr>
        <w:t>may</w:t>
      </w:r>
      <w:r w:rsidRPr="00585ED3">
        <w:rPr>
          <w:rFonts w:cs="Arial"/>
        </w:rPr>
        <w:t xml:space="preserve"> be compensated for attending group meetings.</w:t>
      </w:r>
      <w:r w:rsidR="00694701" w:rsidRPr="00694701">
        <w:t xml:space="preserve"> If an alternate is attending a meeting in place of a committee member, the alternate is also eligible for compensation. </w:t>
      </w:r>
      <w:bookmarkStart w:id="3" w:name="_Hlk52889277"/>
      <w:r w:rsidRPr="00585ED3">
        <w:rPr>
          <w:rFonts w:cs="Arial"/>
        </w:rPr>
        <w:t xml:space="preserve">The compensation rate structure is set by PSRC based in part on its review of focus group/committee compensation paid by other peer metropolitan planning organizations (MPOs), member jurisdictions, and partner organizations. The compensation rate structure will be subjected to periodic evaluation, at the discretion of PSRC. </w:t>
      </w:r>
    </w:p>
    <w:bookmarkEnd w:id="3"/>
    <w:p w14:paraId="79758456" w14:textId="6C73FF8F" w:rsidR="002F6338" w:rsidRDefault="002F6338" w:rsidP="002F6338">
      <w:pPr>
        <w:rPr>
          <w:rFonts w:cs="Arial"/>
        </w:rPr>
      </w:pPr>
      <w:r w:rsidRPr="00585ED3">
        <w:rPr>
          <w:rFonts w:cs="Arial"/>
        </w:rPr>
        <w:t>At the discretion of PSRC, adjustment</w:t>
      </w:r>
      <w:r w:rsidR="009F73F3">
        <w:rPr>
          <w:rFonts w:cs="Arial"/>
        </w:rPr>
        <w:t>s</w:t>
      </w:r>
      <w:r w:rsidRPr="00585ED3">
        <w:rPr>
          <w:rFonts w:cs="Arial"/>
        </w:rPr>
        <w:t xml:space="preserve"> may be made to the set compensation rate per meeting, </w:t>
      </w:r>
      <w:r w:rsidR="00761F84">
        <w:rPr>
          <w:rFonts w:cs="Arial"/>
        </w:rPr>
        <w:t xml:space="preserve">based on amount of time required and/or level of effort. </w:t>
      </w:r>
    </w:p>
    <w:p w14:paraId="6C0E75CF" w14:textId="77777777" w:rsidR="008829C7" w:rsidRDefault="008829C7" w:rsidP="002F6338">
      <w:pPr>
        <w:rPr>
          <w:rFonts w:cs="Arial"/>
          <w:u w:val="single"/>
        </w:rPr>
      </w:pPr>
    </w:p>
    <w:p w14:paraId="6FC31318" w14:textId="5FBCE0F1" w:rsidR="003632CD" w:rsidRDefault="003632CD" w:rsidP="002F6338">
      <w:pPr>
        <w:rPr>
          <w:rFonts w:cs="Arial"/>
        </w:rPr>
      </w:pPr>
      <w:r w:rsidRPr="009F73F3">
        <w:rPr>
          <w:rFonts w:cs="Arial"/>
          <w:u w:val="single"/>
        </w:rPr>
        <w:t>Surveys and Interviews</w:t>
      </w:r>
      <w:r>
        <w:rPr>
          <w:rFonts w:cs="Arial"/>
        </w:rPr>
        <w:t>:</w:t>
      </w:r>
    </w:p>
    <w:p w14:paraId="6DF9B748" w14:textId="258C6166" w:rsidR="003632CD" w:rsidRDefault="003632CD" w:rsidP="003632CD">
      <w:pPr>
        <w:rPr>
          <w:rFonts w:cs="Arial"/>
        </w:rPr>
      </w:pPr>
      <w:r>
        <w:rPr>
          <w:rFonts w:cs="Arial"/>
        </w:rPr>
        <w:t xml:space="preserve">Members of the public may also be compensated </w:t>
      </w:r>
      <w:r w:rsidR="00D321C5">
        <w:rPr>
          <w:rFonts w:cs="Arial"/>
        </w:rPr>
        <w:t xml:space="preserve">or entered into a lottery </w:t>
      </w:r>
      <w:r>
        <w:rPr>
          <w:rFonts w:cs="Arial"/>
        </w:rPr>
        <w:t>for taking a survey or participating in a</w:t>
      </w:r>
      <w:r w:rsidR="00096BC3">
        <w:rPr>
          <w:rFonts w:cs="Arial"/>
        </w:rPr>
        <w:t>n interview</w:t>
      </w:r>
      <w:r>
        <w:rPr>
          <w:rFonts w:cs="Arial"/>
        </w:rPr>
        <w:t xml:space="preserve">. </w:t>
      </w:r>
    </w:p>
    <w:p w14:paraId="4CD9AA98" w14:textId="5572624F" w:rsidR="00313D7F" w:rsidRDefault="00313D7F" w:rsidP="003632CD">
      <w:pPr>
        <w:rPr>
          <w:rFonts w:cs="Arial"/>
        </w:rPr>
      </w:pPr>
    </w:p>
    <w:p w14:paraId="100F8B3E" w14:textId="77777777" w:rsidR="00786E30" w:rsidRDefault="00786E30" w:rsidP="00786E30">
      <w:pPr>
        <w:rPr>
          <w:rFonts w:cs="Arial"/>
        </w:rPr>
      </w:pPr>
      <w:r>
        <w:rPr>
          <w:rFonts w:cs="Arial"/>
          <w:u w:val="single"/>
        </w:rPr>
        <w:t>Community Based Organizations:</w:t>
      </w:r>
    </w:p>
    <w:p w14:paraId="3F5D74AF" w14:textId="3646F46D" w:rsidR="00786E30" w:rsidRPr="00353340" w:rsidRDefault="00786E30" w:rsidP="00786E30">
      <w:pPr>
        <w:rPr>
          <w:rFonts w:cs="Arial"/>
        </w:rPr>
      </w:pPr>
      <w:r>
        <w:rPr>
          <w:rFonts w:cs="Arial"/>
        </w:rPr>
        <w:t xml:space="preserve">CBOs may be compensated directly </w:t>
      </w:r>
      <w:r w:rsidR="00BD3481">
        <w:rPr>
          <w:rFonts w:cs="Arial"/>
        </w:rPr>
        <w:t>to consult, provide expertise and insights to aid PSRC’s planning work</w:t>
      </w:r>
      <w:r w:rsidR="00E1126D">
        <w:rPr>
          <w:rFonts w:cs="Arial"/>
        </w:rPr>
        <w:t xml:space="preserve"> or to encourage responses to PSRC outreach efforts.  </w:t>
      </w:r>
    </w:p>
    <w:p w14:paraId="1E635B58" w14:textId="77777777" w:rsidR="00786E30" w:rsidRDefault="00786E30" w:rsidP="002F6338">
      <w:pPr>
        <w:rPr>
          <w:rFonts w:cs="Arial"/>
        </w:rPr>
      </w:pPr>
    </w:p>
    <w:p w14:paraId="2C62DFB0" w14:textId="63B547AF" w:rsidR="002F6338" w:rsidRDefault="00313D7F" w:rsidP="002F6338">
      <w:pPr>
        <w:rPr>
          <w:rFonts w:cs="Arial"/>
          <w:b/>
          <w:bCs/>
        </w:rPr>
      </w:pPr>
      <w:r>
        <w:rPr>
          <w:rFonts w:cs="Arial"/>
        </w:rPr>
        <w:t>The compensation rate structure is set</w:t>
      </w:r>
      <w:r w:rsidR="006539D5">
        <w:rPr>
          <w:rFonts w:cs="Arial"/>
        </w:rPr>
        <w:t xml:space="preserve"> </w:t>
      </w:r>
      <w:r w:rsidR="006539D5" w:rsidRPr="009F73F3">
        <w:rPr>
          <w:rFonts w:cs="Arial"/>
        </w:rPr>
        <w:t>and adjusted</w:t>
      </w:r>
      <w:r>
        <w:rPr>
          <w:rFonts w:cs="Arial"/>
        </w:rPr>
        <w:t xml:space="preserve"> by PSRC based on market rates (what other agencies are paying for a similarly sized survey/interview) for time and</w:t>
      </w:r>
      <w:r w:rsidR="00761F84">
        <w:rPr>
          <w:rFonts w:cs="Arial"/>
        </w:rPr>
        <w:t xml:space="preserve"> level of</w:t>
      </w:r>
      <w:r>
        <w:rPr>
          <w:rFonts w:cs="Arial"/>
        </w:rPr>
        <w:t xml:space="preserve"> effort.</w:t>
      </w:r>
      <w:r w:rsidR="0031564D">
        <w:rPr>
          <w:rFonts w:cs="Arial"/>
        </w:rPr>
        <w:t xml:space="preserve"> The Outreach Compensation Cost Estimate Form will be used for every new public outreach effort</w:t>
      </w:r>
      <w:r w:rsidR="00921300">
        <w:rPr>
          <w:rFonts w:cs="Arial"/>
        </w:rPr>
        <w:t xml:space="preserve"> that includes compensation</w:t>
      </w:r>
      <w:r w:rsidR="0031564D">
        <w:rPr>
          <w:rFonts w:cs="Arial"/>
        </w:rPr>
        <w:t>.</w:t>
      </w:r>
    </w:p>
    <w:p w14:paraId="6B4777BA" w14:textId="77777777" w:rsidR="00A858EC" w:rsidRDefault="00A858EC" w:rsidP="002F6338">
      <w:pPr>
        <w:rPr>
          <w:rFonts w:cs="Arial"/>
          <w:b/>
          <w:bCs/>
        </w:rPr>
      </w:pPr>
    </w:p>
    <w:p w14:paraId="682C33EF" w14:textId="31A03CC1" w:rsidR="002F6338" w:rsidRDefault="002F6338" w:rsidP="002F6338">
      <w:pPr>
        <w:rPr>
          <w:rFonts w:cs="Arial"/>
          <w:b/>
          <w:bCs/>
        </w:rPr>
      </w:pPr>
      <w:r w:rsidRPr="00585ED3">
        <w:rPr>
          <w:rFonts w:cs="Arial"/>
          <w:b/>
          <w:bCs/>
        </w:rPr>
        <w:t>Procedures</w:t>
      </w:r>
    </w:p>
    <w:p w14:paraId="02D13F3B" w14:textId="56AB2C4E" w:rsidR="002F6338" w:rsidRPr="00FC3E9E" w:rsidRDefault="0057421E" w:rsidP="00FC3E9E">
      <w:pPr>
        <w:rPr>
          <w:rFonts w:cs="Arial"/>
          <w:b/>
          <w:bCs/>
        </w:rPr>
      </w:pPr>
      <w:r>
        <w:rPr>
          <w:rFonts w:cs="Arial"/>
          <w:u w:val="single"/>
        </w:rPr>
        <w:t>Committees and Community Meetings, Some Focus and Work Groups</w:t>
      </w:r>
      <w:r w:rsidR="00FC3E9E">
        <w:rPr>
          <w:rFonts w:cs="Arial"/>
          <w:u w:val="single"/>
        </w:rPr>
        <w:t xml:space="preserve"> (that may exceed $600/participant/calendar year):</w:t>
      </w:r>
    </w:p>
    <w:p w14:paraId="30736106" w14:textId="35166E97" w:rsidR="002F6338" w:rsidRPr="00585ED3" w:rsidRDefault="002F6338" w:rsidP="002F6338">
      <w:pPr>
        <w:pStyle w:val="ListParagraph"/>
        <w:numPr>
          <w:ilvl w:val="0"/>
          <w:numId w:val="1"/>
        </w:numPr>
        <w:rPr>
          <w:rFonts w:cs="Arial"/>
          <w:szCs w:val="24"/>
        </w:rPr>
      </w:pPr>
      <w:r w:rsidRPr="00585ED3">
        <w:rPr>
          <w:rFonts w:cs="Arial"/>
          <w:szCs w:val="24"/>
        </w:rPr>
        <w:t>Member’s Questionnaire</w:t>
      </w:r>
    </w:p>
    <w:p w14:paraId="0F22CFA1" w14:textId="1E99E276" w:rsidR="002F6338" w:rsidRPr="00585ED3" w:rsidRDefault="002F6338" w:rsidP="002F6338">
      <w:pPr>
        <w:rPr>
          <w:rFonts w:cs="Arial"/>
        </w:rPr>
      </w:pPr>
      <w:r w:rsidRPr="00585ED3">
        <w:rPr>
          <w:rFonts w:cs="Arial"/>
        </w:rPr>
        <w:t>Each member of the focus group/</w:t>
      </w:r>
      <w:r w:rsidR="00921300">
        <w:rPr>
          <w:rFonts w:cs="Arial"/>
        </w:rPr>
        <w:t>working group/</w:t>
      </w:r>
      <w:r w:rsidRPr="00585ED3">
        <w:rPr>
          <w:rFonts w:cs="Arial"/>
        </w:rPr>
        <w:t xml:space="preserve">committee must fill out the Member Questionnaire, on an annual basis. The Member Questionnaire is required to be updated when personal information changes. The Member Questionnaire form is available </w:t>
      </w:r>
      <w:r w:rsidR="00927C34">
        <w:rPr>
          <w:rFonts w:cs="Arial"/>
        </w:rPr>
        <w:t xml:space="preserve">on </w:t>
      </w:r>
      <w:r w:rsidR="00425A5E">
        <w:rPr>
          <w:rFonts w:cs="Arial"/>
        </w:rPr>
        <w:t>Grapevine</w:t>
      </w:r>
      <w:r w:rsidRPr="00585ED3">
        <w:rPr>
          <w:rFonts w:cs="Arial"/>
        </w:rPr>
        <w:t xml:space="preserve">. </w:t>
      </w:r>
    </w:p>
    <w:p w14:paraId="4583FE92" w14:textId="77777777" w:rsidR="002F6338" w:rsidRPr="00585ED3" w:rsidRDefault="002F6338" w:rsidP="002F6338">
      <w:pPr>
        <w:rPr>
          <w:rFonts w:cs="Arial"/>
        </w:rPr>
      </w:pPr>
    </w:p>
    <w:p w14:paraId="73CA11E2" w14:textId="72B23646" w:rsidR="002F6338" w:rsidRPr="00585ED3" w:rsidRDefault="002F6338" w:rsidP="002F6338">
      <w:pPr>
        <w:rPr>
          <w:rFonts w:cs="Arial"/>
        </w:rPr>
      </w:pPr>
      <w:r w:rsidRPr="00585ED3">
        <w:rPr>
          <w:rFonts w:cs="Arial"/>
        </w:rPr>
        <w:t>Members of focus group/</w:t>
      </w:r>
      <w:r w:rsidR="00921300">
        <w:rPr>
          <w:rFonts w:cs="Arial"/>
        </w:rPr>
        <w:t>working groups/</w:t>
      </w:r>
      <w:r w:rsidRPr="00585ED3">
        <w:rPr>
          <w:rFonts w:cs="Arial"/>
        </w:rPr>
        <w:t xml:space="preserve">committees must disclose in the Member Questionnaire if </w:t>
      </w:r>
      <w:r>
        <w:rPr>
          <w:rFonts w:cs="Arial"/>
        </w:rPr>
        <w:t xml:space="preserve">they are </w:t>
      </w:r>
      <w:r w:rsidRPr="00585ED3">
        <w:rPr>
          <w:rFonts w:cs="Arial"/>
        </w:rPr>
        <w:t xml:space="preserve">being compensated by </w:t>
      </w:r>
      <w:r>
        <w:rPr>
          <w:rFonts w:cs="Arial"/>
        </w:rPr>
        <w:t>their</w:t>
      </w:r>
      <w:r w:rsidRPr="00585ED3">
        <w:rPr>
          <w:rFonts w:cs="Arial"/>
        </w:rPr>
        <w:t xml:space="preserve"> employer for preparing for and attending the meeting</w:t>
      </w:r>
      <w:r w:rsidR="00921300">
        <w:rPr>
          <w:rFonts w:cs="Arial"/>
        </w:rPr>
        <w:t>(</w:t>
      </w:r>
      <w:r w:rsidRPr="00585ED3">
        <w:rPr>
          <w:rFonts w:cs="Arial"/>
        </w:rPr>
        <w:t>s</w:t>
      </w:r>
      <w:r w:rsidR="00921300">
        <w:rPr>
          <w:rFonts w:cs="Arial"/>
        </w:rPr>
        <w:t>)</w:t>
      </w:r>
      <w:r w:rsidRPr="00585ED3">
        <w:rPr>
          <w:rFonts w:cs="Arial"/>
        </w:rPr>
        <w:t xml:space="preserve">. </w:t>
      </w:r>
    </w:p>
    <w:p w14:paraId="2A1D0C0E" w14:textId="77777777" w:rsidR="002F6338" w:rsidRDefault="002F6338" w:rsidP="002F6338">
      <w:pPr>
        <w:rPr>
          <w:rFonts w:cs="Arial"/>
        </w:rPr>
      </w:pPr>
    </w:p>
    <w:p w14:paraId="37643FCA" w14:textId="02FF6D5C" w:rsidR="002F6338" w:rsidRDefault="003B2736" w:rsidP="002F6338">
      <w:pPr>
        <w:rPr>
          <w:rFonts w:cs="Arial"/>
        </w:rPr>
      </w:pPr>
      <w:r>
        <w:rPr>
          <w:rFonts w:cs="Arial"/>
        </w:rPr>
        <w:t xml:space="preserve">The </w:t>
      </w:r>
      <w:r w:rsidR="002F6338" w:rsidRPr="00585ED3">
        <w:rPr>
          <w:rFonts w:cs="Arial"/>
        </w:rPr>
        <w:t xml:space="preserve">Member Questionnaire </w:t>
      </w:r>
      <w:r>
        <w:rPr>
          <w:rFonts w:cs="Arial"/>
        </w:rPr>
        <w:t xml:space="preserve">will be distributed by PSRC staff the to the participant, as needed, and </w:t>
      </w:r>
      <w:r w:rsidR="002F6338" w:rsidRPr="00585ED3">
        <w:rPr>
          <w:rFonts w:cs="Arial"/>
        </w:rPr>
        <w:t xml:space="preserve">must be submitted to PSRC’s </w:t>
      </w:r>
      <w:r w:rsidR="00F3784E">
        <w:rPr>
          <w:rFonts w:cs="Arial"/>
        </w:rPr>
        <w:t>Finance</w:t>
      </w:r>
      <w:r w:rsidR="002F6338" w:rsidRPr="00585ED3">
        <w:rPr>
          <w:rFonts w:cs="Arial"/>
        </w:rPr>
        <w:t xml:space="preserve"> department</w:t>
      </w:r>
      <w:r>
        <w:rPr>
          <w:rFonts w:cs="Arial"/>
        </w:rPr>
        <w:t xml:space="preserve"> for processing</w:t>
      </w:r>
      <w:r w:rsidR="002F6338" w:rsidRPr="00585ED3">
        <w:rPr>
          <w:rFonts w:cs="Arial"/>
        </w:rPr>
        <w:t xml:space="preserve">, email to </w:t>
      </w:r>
      <w:hyperlink r:id="rId7" w:history="1">
        <w:r w:rsidR="002F6338" w:rsidRPr="00585ED3">
          <w:rPr>
            <w:rStyle w:val="Hyperlink"/>
            <w:rFonts w:cs="Arial"/>
          </w:rPr>
          <w:t>finance@psrc.org</w:t>
        </w:r>
      </w:hyperlink>
      <w:r w:rsidR="002F6338" w:rsidRPr="00585ED3">
        <w:rPr>
          <w:rFonts w:cs="Arial"/>
        </w:rPr>
        <w:t>.</w:t>
      </w:r>
    </w:p>
    <w:p w14:paraId="1BF005E5" w14:textId="77777777" w:rsidR="002F6338" w:rsidRPr="00585ED3" w:rsidRDefault="002F6338" w:rsidP="002F6338">
      <w:pPr>
        <w:rPr>
          <w:rFonts w:cs="Arial"/>
        </w:rPr>
      </w:pPr>
    </w:p>
    <w:p w14:paraId="621EF00A" w14:textId="77777777" w:rsidR="002F6338" w:rsidRPr="00585ED3" w:rsidRDefault="002F6338" w:rsidP="002F6338">
      <w:pPr>
        <w:pStyle w:val="ListParagraph"/>
        <w:numPr>
          <w:ilvl w:val="0"/>
          <w:numId w:val="1"/>
        </w:numPr>
        <w:rPr>
          <w:rFonts w:cs="Arial"/>
          <w:szCs w:val="24"/>
        </w:rPr>
      </w:pPr>
      <w:r w:rsidRPr="00585ED3">
        <w:rPr>
          <w:rFonts w:cs="Arial"/>
          <w:szCs w:val="24"/>
        </w:rPr>
        <w:t>Attendance</w:t>
      </w:r>
    </w:p>
    <w:p w14:paraId="5380AE30" w14:textId="17A19769" w:rsidR="002F6338" w:rsidRDefault="002F6338" w:rsidP="002F6338">
      <w:pPr>
        <w:rPr>
          <w:rFonts w:cs="Arial"/>
        </w:rPr>
      </w:pPr>
      <w:r w:rsidRPr="00585ED3">
        <w:rPr>
          <w:rFonts w:cs="Arial"/>
        </w:rPr>
        <w:t xml:space="preserve">Regular attendance </w:t>
      </w:r>
      <w:r w:rsidR="00B95DFE">
        <w:rPr>
          <w:rFonts w:cs="Arial"/>
        </w:rPr>
        <w:t>in</w:t>
      </w:r>
      <w:r w:rsidR="00B95DFE" w:rsidRPr="00585ED3">
        <w:rPr>
          <w:rFonts w:cs="Arial"/>
        </w:rPr>
        <w:t xml:space="preserve"> </w:t>
      </w:r>
      <w:r w:rsidRPr="00585ED3">
        <w:rPr>
          <w:rFonts w:cs="Arial"/>
        </w:rPr>
        <w:t>focus group</w:t>
      </w:r>
      <w:r w:rsidR="00921300">
        <w:rPr>
          <w:rFonts w:cs="Arial"/>
        </w:rPr>
        <w:t>s</w:t>
      </w:r>
      <w:r w:rsidRPr="00585ED3">
        <w:rPr>
          <w:rFonts w:cs="Arial"/>
        </w:rPr>
        <w:t>/</w:t>
      </w:r>
      <w:r w:rsidR="00921300">
        <w:rPr>
          <w:rFonts w:cs="Arial"/>
        </w:rPr>
        <w:t>working groups/</w:t>
      </w:r>
      <w:r w:rsidRPr="00585ED3">
        <w:rPr>
          <w:rFonts w:cs="Arial"/>
        </w:rPr>
        <w:t>committee meeting</w:t>
      </w:r>
      <w:r w:rsidR="00921300">
        <w:rPr>
          <w:rFonts w:cs="Arial"/>
        </w:rPr>
        <w:t>s</w:t>
      </w:r>
      <w:r w:rsidRPr="00585ED3">
        <w:rPr>
          <w:rFonts w:cs="Arial"/>
        </w:rPr>
        <w:t xml:space="preserve"> is required for the member’s compensation. Attendance must be recorded by the focus group/</w:t>
      </w:r>
      <w:r w:rsidR="00921300">
        <w:rPr>
          <w:rFonts w:cs="Arial"/>
        </w:rPr>
        <w:t>working group/</w:t>
      </w:r>
      <w:r w:rsidRPr="00585ED3">
        <w:rPr>
          <w:rFonts w:cs="Arial"/>
        </w:rPr>
        <w:t xml:space="preserve">committee </w:t>
      </w:r>
      <w:r w:rsidR="00096BC3">
        <w:rPr>
          <w:rFonts w:cs="Arial"/>
        </w:rPr>
        <w:t xml:space="preserve">facilitator </w:t>
      </w:r>
      <w:r w:rsidRPr="00585ED3">
        <w:rPr>
          <w:rFonts w:cs="Arial"/>
        </w:rPr>
        <w:t xml:space="preserve">and </w:t>
      </w:r>
      <w:r w:rsidR="00096BC3">
        <w:rPr>
          <w:rFonts w:cs="Arial"/>
        </w:rPr>
        <w:t>provided</w:t>
      </w:r>
      <w:r w:rsidR="00096BC3" w:rsidRPr="00585ED3">
        <w:rPr>
          <w:rFonts w:cs="Arial"/>
        </w:rPr>
        <w:t xml:space="preserve"> </w:t>
      </w:r>
      <w:r w:rsidRPr="00585ED3">
        <w:rPr>
          <w:rFonts w:cs="Arial"/>
        </w:rPr>
        <w:t xml:space="preserve">to PSRC’s </w:t>
      </w:r>
      <w:r w:rsidR="00921300">
        <w:rPr>
          <w:rFonts w:cs="Arial"/>
        </w:rPr>
        <w:t>Finance</w:t>
      </w:r>
      <w:r w:rsidR="00921300" w:rsidRPr="00585ED3">
        <w:rPr>
          <w:rFonts w:cs="Arial"/>
        </w:rPr>
        <w:t xml:space="preserve"> </w:t>
      </w:r>
      <w:r w:rsidR="00921300">
        <w:rPr>
          <w:rFonts w:cs="Arial"/>
        </w:rPr>
        <w:t>D</w:t>
      </w:r>
      <w:r w:rsidRPr="00585ED3">
        <w:rPr>
          <w:rFonts w:cs="Arial"/>
        </w:rPr>
        <w:t>epartment within 3</w:t>
      </w:r>
      <w:r w:rsidR="006E1A43">
        <w:rPr>
          <w:rFonts w:cs="Arial"/>
        </w:rPr>
        <w:t>0</w:t>
      </w:r>
      <w:r w:rsidRPr="00585ED3">
        <w:rPr>
          <w:rFonts w:cs="Arial"/>
        </w:rPr>
        <w:t xml:space="preserve"> days after each meeting.  </w:t>
      </w:r>
      <w:r>
        <w:rPr>
          <w:rFonts w:cs="Arial"/>
        </w:rPr>
        <w:t xml:space="preserve">Participants must stay for at least 75% of the meeting to be compensated. </w:t>
      </w:r>
      <w:r w:rsidRPr="00585ED3">
        <w:rPr>
          <w:rFonts w:cs="Arial"/>
        </w:rPr>
        <w:t xml:space="preserve">The record of attendance will serve as support for processing compensation to members. </w:t>
      </w:r>
      <w:r w:rsidR="001A4CB9">
        <w:rPr>
          <w:rFonts w:cs="Arial"/>
        </w:rPr>
        <w:t>Consultants must provide a matching record (IE: proof of attendance and</w:t>
      </w:r>
      <w:r w:rsidR="000C5CF9">
        <w:rPr>
          <w:rFonts w:cs="Arial"/>
        </w:rPr>
        <w:t>/or</w:t>
      </w:r>
      <w:r w:rsidR="001A4CB9">
        <w:rPr>
          <w:rFonts w:cs="Arial"/>
        </w:rPr>
        <w:t xml:space="preserve"> participation in addition to payment receipt) to be reimbursed. </w:t>
      </w:r>
      <w:r w:rsidRPr="00585ED3">
        <w:rPr>
          <w:rFonts w:cs="Arial"/>
        </w:rPr>
        <w:t>A</w:t>
      </w:r>
      <w:r w:rsidR="00096BC3">
        <w:rPr>
          <w:rFonts w:cs="Arial"/>
        </w:rPr>
        <w:t xml:space="preserve"> sample a</w:t>
      </w:r>
      <w:r w:rsidRPr="00585ED3">
        <w:rPr>
          <w:rFonts w:cs="Arial"/>
        </w:rPr>
        <w:t>ttendance sheet is available</w:t>
      </w:r>
      <w:r w:rsidR="00927C34">
        <w:rPr>
          <w:rFonts w:cs="Arial"/>
        </w:rPr>
        <w:t xml:space="preserve"> on</w:t>
      </w:r>
      <w:r w:rsidRPr="00585ED3">
        <w:rPr>
          <w:rFonts w:cs="Arial"/>
        </w:rPr>
        <w:t xml:space="preserve"> </w:t>
      </w:r>
      <w:r w:rsidR="00425A5E">
        <w:rPr>
          <w:rFonts w:cs="Arial"/>
        </w:rPr>
        <w:t>Grapevine</w:t>
      </w:r>
      <w:r w:rsidR="00927C34">
        <w:rPr>
          <w:rFonts w:cs="Arial"/>
        </w:rPr>
        <w:t>.</w:t>
      </w:r>
      <w:r w:rsidRPr="00585ED3">
        <w:rPr>
          <w:rFonts w:cs="Arial"/>
        </w:rPr>
        <w:t xml:space="preserve"> </w:t>
      </w:r>
      <w:r w:rsidR="003B2736">
        <w:rPr>
          <w:rFonts w:cs="Arial"/>
        </w:rPr>
        <w:t>PSRC staff will distribute the attendance form to participants</w:t>
      </w:r>
      <w:r w:rsidR="000C5CF9">
        <w:rPr>
          <w:rFonts w:cs="Arial"/>
        </w:rPr>
        <w:t xml:space="preserve"> and/or consultants</w:t>
      </w:r>
      <w:r w:rsidR="003B2736">
        <w:rPr>
          <w:rFonts w:cs="Arial"/>
        </w:rPr>
        <w:t xml:space="preserve">, as needed, and must be submitted to PSRC’s Finance department for processing, email to </w:t>
      </w:r>
      <w:hyperlink r:id="rId8" w:history="1">
        <w:r w:rsidR="003B2736" w:rsidRPr="00516736">
          <w:rPr>
            <w:rStyle w:val="Hyperlink"/>
            <w:rFonts w:cs="Arial"/>
          </w:rPr>
          <w:t>finance@psrc.org</w:t>
        </w:r>
      </w:hyperlink>
      <w:r w:rsidR="003B2736">
        <w:rPr>
          <w:rFonts w:cs="Arial"/>
        </w:rPr>
        <w:t xml:space="preserve">. </w:t>
      </w:r>
    </w:p>
    <w:p w14:paraId="0AA75763" w14:textId="77777777" w:rsidR="002F6338" w:rsidRPr="00585ED3" w:rsidRDefault="002F6338" w:rsidP="002F6338">
      <w:pPr>
        <w:rPr>
          <w:rFonts w:cs="Arial"/>
        </w:rPr>
      </w:pPr>
    </w:p>
    <w:p w14:paraId="50D017C7" w14:textId="184FC0AF" w:rsidR="002F6338" w:rsidRPr="00585ED3" w:rsidRDefault="002F6338" w:rsidP="002F6338">
      <w:pPr>
        <w:pStyle w:val="ListParagraph"/>
        <w:numPr>
          <w:ilvl w:val="0"/>
          <w:numId w:val="1"/>
        </w:numPr>
        <w:rPr>
          <w:rFonts w:cs="Arial"/>
          <w:szCs w:val="24"/>
        </w:rPr>
      </w:pPr>
      <w:r w:rsidRPr="00585ED3">
        <w:rPr>
          <w:rFonts w:cs="Arial"/>
          <w:szCs w:val="24"/>
        </w:rPr>
        <w:t>Compensation</w:t>
      </w:r>
    </w:p>
    <w:p w14:paraId="2E78478B" w14:textId="1851873A" w:rsidR="002F6338" w:rsidRDefault="002F6338" w:rsidP="002F6338">
      <w:pPr>
        <w:rPr>
          <w:rFonts w:cs="Arial"/>
        </w:rPr>
      </w:pPr>
      <w:r w:rsidRPr="00585ED3">
        <w:rPr>
          <w:rFonts w:cs="Arial"/>
        </w:rPr>
        <w:t xml:space="preserve">PSRC’s </w:t>
      </w:r>
      <w:r w:rsidR="00096BC3">
        <w:rPr>
          <w:rFonts w:cs="Arial"/>
        </w:rPr>
        <w:t>Finance</w:t>
      </w:r>
      <w:r w:rsidR="00096BC3" w:rsidRPr="00585ED3">
        <w:rPr>
          <w:rFonts w:cs="Arial"/>
        </w:rPr>
        <w:t xml:space="preserve"> </w:t>
      </w:r>
      <w:r w:rsidR="00096BC3">
        <w:rPr>
          <w:rFonts w:cs="Arial"/>
        </w:rPr>
        <w:t>D</w:t>
      </w:r>
      <w:r w:rsidR="00096BC3" w:rsidRPr="00585ED3">
        <w:rPr>
          <w:rFonts w:cs="Arial"/>
        </w:rPr>
        <w:t xml:space="preserve">epartment </w:t>
      </w:r>
      <w:r w:rsidRPr="00585ED3">
        <w:rPr>
          <w:rFonts w:cs="Arial"/>
        </w:rPr>
        <w:t xml:space="preserve">is responsible </w:t>
      </w:r>
      <w:r>
        <w:rPr>
          <w:rFonts w:cs="Arial"/>
        </w:rPr>
        <w:t>for</w:t>
      </w:r>
      <w:r w:rsidRPr="00585ED3">
        <w:rPr>
          <w:rFonts w:cs="Arial"/>
        </w:rPr>
        <w:t xml:space="preserve"> calculating the total compensation per member based on the current compensation rate structure. This task can be delegated to a consultant. The Compensation Schedule will be the current standard compensation per meeting and any adjustment based on anticipated unusual time commitment for a particular meeting. The Compensation Schedule shall be communicated to each focus group/</w:t>
      </w:r>
      <w:r w:rsidR="00921300">
        <w:rPr>
          <w:rFonts w:cs="Arial"/>
        </w:rPr>
        <w:t>working group/</w:t>
      </w:r>
      <w:r w:rsidRPr="00585ED3">
        <w:rPr>
          <w:rFonts w:cs="Arial"/>
        </w:rPr>
        <w:t>committee</w:t>
      </w:r>
      <w:r w:rsidR="00096BC3">
        <w:rPr>
          <w:rFonts w:cs="Arial"/>
        </w:rPr>
        <w:t xml:space="preserve"> facilitator</w:t>
      </w:r>
      <w:r w:rsidRPr="00585ED3">
        <w:rPr>
          <w:rFonts w:cs="Arial"/>
        </w:rPr>
        <w:t xml:space="preserve"> two weeks prior to the schedule of meeting, as </w:t>
      </w:r>
      <w:r>
        <w:rPr>
          <w:rFonts w:cs="Arial"/>
        </w:rPr>
        <w:t xml:space="preserve">the </w:t>
      </w:r>
      <w:r w:rsidRPr="00585ED3">
        <w:rPr>
          <w:rFonts w:cs="Arial"/>
        </w:rPr>
        <w:t xml:space="preserve">schedule allows. </w:t>
      </w:r>
    </w:p>
    <w:p w14:paraId="0ABD783E" w14:textId="77777777" w:rsidR="0057421E" w:rsidRDefault="0057421E" w:rsidP="002F6338">
      <w:pPr>
        <w:rPr>
          <w:rFonts w:cs="Arial"/>
        </w:rPr>
      </w:pPr>
    </w:p>
    <w:p w14:paraId="062355FD" w14:textId="1738433D" w:rsidR="009F73F3" w:rsidRDefault="002F6338" w:rsidP="00BE4A37">
      <w:pPr>
        <w:rPr>
          <w:rFonts w:cs="Arial"/>
        </w:rPr>
      </w:pPr>
      <w:r w:rsidRPr="00585ED3">
        <w:rPr>
          <w:rFonts w:cs="Arial"/>
        </w:rPr>
        <w:t xml:space="preserve">PSRC’s </w:t>
      </w:r>
      <w:r w:rsidR="00F3784E">
        <w:rPr>
          <w:rFonts w:cs="Arial"/>
        </w:rPr>
        <w:t>Finance</w:t>
      </w:r>
      <w:r w:rsidRPr="00585ED3">
        <w:rPr>
          <w:rFonts w:cs="Arial"/>
        </w:rPr>
        <w:t xml:space="preserve"> department, or the consultant, is responsible </w:t>
      </w:r>
      <w:r>
        <w:rPr>
          <w:rFonts w:cs="Arial"/>
        </w:rPr>
        <w:t xml:space="preserve">for </w:t>
      </w:r>
      <w:r w:rsidRPr="00585ED3">
        <w:rPr>
          <w:rFonts w:cs="Arial"/>
        </w:rPr>
        <w:t xml:space="preserve">the processing </w:t>
      </w:r>
      <w:r w:rsidR="005B1712">
        <w:rPr>
          <w:rFonts w:cs="Arial"/>
        </w:rPr>
        <w:t xml:space="preserve">of </w:t>
      </w:r>
      <w:r w:rsidRPr="00585ED3">
        <w:rPr>
          <w:rFonts w:cs="Arial"/>
        </w:rPr>
        <w:t>checks</w:t>
      </w:r>
      <w:r w:rsidR="00096BC3">
        <w:rPr>
          <w:rFonts w:cs="Arial"/>
        </w:rPr>
        <w:t xml:space="preserve">, </w:t>
      </w:r>
      <w:r>
        <w:rPr>
          <w:rFonts w:cs="Arial"/>
        </w:rPr>
        <w:t xml:space="preserve">or online payments (i.e. PayPal, Venmo) </w:t>
      </w:r>
      <w:r w:rsidRPr="00585ED3">
        <w:rPr>
          <w:rFonts w:cs="Arial"/>
        </w:rPr>
        <w:t xml:space="preserve">for the member’s compensation in accordance with its accounts payable policy and procedures. </w:t>
      </w:r>
      <w:r>
        <w:rPr>
          <w:rFonts w:cs="Arial"/>
        </w:rPr>
        <w:t xml:space="preserve">If reimbursed by check, it </w:t>
      </w:r>
      <w:r w:rsidRPr="00585ED3">
        <w:rPr>
          <w:rFonts w:cs="Arial"/>
        </w:rPr>
        <w:t xml:space="preserve">will be mailed to the </w:t>
      </w:r>
      <w:r w:rsidR="00921300">
        <w:rPr>
          <w:rFonts w:cs="Arial"/>
        </w:rPr>
        <w:t>participant’s</w:t>
      </w:r>
      <w:r w:rsidRPr="00585ED3">
        <w:rPr>
          <w:rFonts w:cs="Arial"/>
        </w:rPr>
        <w:t xml:space="preserve"> address provided on the member’s questionnaire.</w:t>
      </w:r>
    </w:p>
    <w:p w14:paraId="4EE3EE00" w14:textId="77777777" w:rsidR="008829C7" w:rsidRDefault="008829C7" w:rsidP="00BE4A37">
      <w:pPr>
        <w:rPr>
          <w:rFonts w:cs="Arial"/>
        </w:rPr>
      </w:pPr>
    </w:p>
    <w:p w14:paraId="771A9941" w14:textId="1149203C" w:rsidR="009206C2" w:rsidRPr="00FC3E9E" w:rsidRDefault="009206C2" w:rsidP="00FC3E9E">
      <w:r w:rsidRPr="00FC3E9E">
        <w:rPr>
          <w:u w:val="single"/>
        </w:rPr>
        <w:t>Surveys</w:t>
      </w:r>
      <w:r w:rsidR="00FF3239" w:rsidRPr="00FC3E9E">
        <w:rPr>
          <w:u w:val="single"/>
        </w:rPr>
        <w:t>,</w:t>
      </w:r>
      <w:r w:rsidRPr="00FC3E9E">
        <w:rPr>
          <w:u w:val="single"/>
        </w:rPr>
        <w:t xml:space="preserve"> Interviews</w:t>
      </w:r>
      <w:r w:rsidR="00FF3239" w:rsidRPr="00FC3E9E">
        <w:rPr>
          <w:u w:val="single"/>
        </w:rPr>
        <w:t>, and Focus Groups (not to exceed $600/participant/calendar year)</w:t>
      </w:r>
      <w:r w:rsidR="00FC3E9E">
        <w:rPr>
          <w:u w:val="single"/>
        </w:rPr>
        <w:t>:</w:t>
      </w:r>
    </w:p>
    <w:p w14:paraId="5F3EA3E1" w14:textId="494BDF27" w:rsidR="009206C2" w:rsidRDefault="009206C2" w:rsidP="009206C2">
      <w:pPr>
        <w:pStyle w:val="ListParagraph"/>
        <w:numPr>
          <w:ilvl w:val="0"/>
          <w:numId w:val="3"/>
        </w:numPr>
        <w:ind w:left="360"/>
      </w:pPr>
      <w:r>
        <w:t>Compensation</w:t>
      </w:r>
    </w:p>
    <w:p w14:paraId="7EBCC2F1" w14:textId="308BBBE1" w:rsidR="009206C2" w:rsidRDefault="00EF2AA7" w:rsidP="009206C2">
      <w:r>
        <w:t>Surveys</w:t>
      </w:r>
      <w:r w:rsidR="00800055">
        <w:t>, Focus Groups,</w:t>
      </w:r>
      <w:r>
        <w:t xml:space="preserve"> and/or interview</w:t>
      </w:r>
      <w:r w:rsidR="00B95DFE">
        <w:t>s</w:t>
      </w:r>
      <w:r>
        <w:t xml:space="preserve"> may be </w:t>
      </w:r>
      <w:r w:rsidR="00825A7C">
        <w:t>eligible to</w:t>
      </w:r>
      <w:r w:rsidR="00B81563">
        <w:t xml:space="preserve"> receive </w:t>
      </w:r>
      <w:r>
        <w:t>compensat</w:t>
      </w:r>
      <w:r w:rsidR="00B81563">
        <w:t>ion</w:t>
      </w:r>
      <w:r>
        <w:t xml:space="preserve"> using check, online payment (i.e. PayPal, Venmo), </w:t>
      </w:r>
      <w:r w:rsidR="00096BC3">
        <w:t xml:space="preserve">or </w:t>
      </w:r>
      <w:r>
        <w:t>gift</w:t>
      </w:r>
      <w:r w:rsidR="009F73F3">
        <w:t xml:space="preserve"> </w:t>
      </w:r>
      <w:r>
        <w:t>card based on the current compensation rate structure and adjusted for time and effort as applicable.</w:t>
      </w:r>
    </w:p>
    <w:p w14:paraId="4F753C34" w14:textId="5F936F3B" w:rsidR="00EF2AA7" w:rsidRDefault="00EF2AA7" w:rsidP="009206C2"/>
    <w:p w14:paraId="361F0A31" w14:textId="1EC0CF3A" w:rsidR="00EF2AA7" w:rsidRDefault="0028397D" w:rsidP="009206C2">
      <w:r>
        <w:t>PSRC will not keep stock of any gift</w:t>
      </w:r>
      <w:r w:rsidR="009F73F3">
        <w:t xml:space="preserve"> </w:t>
      </w:r>
      <w:r>
        <w:t xml:space="preserve">cards under any circumstances. </w:t>
      </w:r>
      <w:r w:rsidR="00EF2AA7">
        <w:t>If gift</w:t>
      </w:r>
      <w:r w:rsidR="009F73F3">
        <w:t xml:space="preserve"> </w:t>
      </w:r>
      <w:r w:rsidR="00EF2AA7">
        <w:t xml:space="preserve">cards are used as compensation, the consultant will furnish and safeguard the cards and issue them as appropriate. Proof of purchase and delivery to recipient is required for reimbursement to consultant. </w:t>
      </w:r>
    </w:p>
    <w:p w14:paraId="65DA9C31" w14:textId="54101E7E" w:rsidR="009C6379" w:rsidRDefault="009C6379" w:rsidP="009206C2"/>
    <w:p w14:paraId="096EB120" w14:textId="467F74FB" w:rsidR="009C6379" w:rsidRDefault="009C6379" w:rsidP="009206C2">
      <w:r w:rsidRPr="006B6B68">
        <w:rPr>
          <w:u w:val="single"/>
        </w:rPr>
        <w:t>Community Based Organizations</w:t>
      </w:r>
    </w:p>
    <w:p w14:paraId="126C96FE" w14:textId="4D3E6264" w:rsidR="003D0A77" w:rsidRDefault="009C6379" w:rsidP="006B6B68">
      <w:pPr>
        <w:pStyle w:val="ListParagraph"/>
        <w:numPr>
          <w:ilvl w:val="0"/>
          <w:numId w:val="4"/>
        </w:numPr>
        <w:ind w:left="360"/>
      </w:pPr>
      <w:r>
        <w:t xml:space="preserve">Compensation </w:t>
      </w:r>
    </w:p>
    <w:p w14:paraId="22B7963B" w14:textId="3F18307B" w:rsidR="009C6379" w:rsidRDefault="003D0A77" w:rsidP="006B6B68">
      <w:pPr>
        <w:pStyle w:val="ListParagraph"/>
        <w:ind w:left="0"/>
      </w:pPr>
      <w:r>
        <w:t xml:space="preserve">Payment </w:t>
      </w:r>
      <w:r w:rsidR="009C6379">
        <w:t xml:space="preserve">will be </w:t>
      </w:r>
      <w:r>
        <w:t xml:space="preserve">made via check </w:t>
      </w:r>
      <w:r w:rsidR="009C6379">
        <w:t>to the organization upon receipt of an invoice for the services</w:t>
      </w:r>
      <w:r>
        <w:t xml:space="preserve"> </w:t>
      </w:r>
      <w:r w:rsidR="009C6379">
        <w:t>provided</w:t>
      </w:r>
      <w:r>
        <w:t xml:space="preserve">. Services provided can be time spent working with PSRC staff, either in person, </w:t>
      </w:r>
      <w:r w:rsidR="00965F50">
        <w:t>via</w:t>
      </w:r>
      <w:r>
        <w:t xml:space="preserve"> phone, </w:t>
      </w:r>
      <w:r w:rsidR="00965F50">
        <w:t>virtually</w:t>
      </w:r>
      <w:r w:rsidR="00786E30">
        <w:t>, or any combination</w:t>
      </w:r>
      <w:r>
        <w:t xml:space="preserve">. </w:t>
      </w:r>
    </w:p>
    <w:p w14:paraId="10870EBB" w14:textId="0F5F045F" w:rsidR="003D0A77" w:rsidRDefault="003D0A77" w:rsidP="003D0A77"/>
    <w:p w14:paraId="4B377226" w14:textId="687A1276" w:rsidR="003D0A77" w:rsidRPr="009C6379" w:rsidRDefault="003D0A77" w:rsidP="003D0A77">
      <w:r>
        <w:t xml:space="preserve">PSRC will use the Compensation Rate Structure to determine </w:t>
      </w:r>
      <w:r w:rsidR="0009631C">
        <w:t xml:space="preserve">a </w:t>
      </w:r>
      <w:r>
        <w:t>fair</w:t>
      </w:r>
      <w:r w:rsidR="0009631C">
        <w:t xml:space="preserve"> and reasonable</w:t>
      </w:r>
      <w:r>
        <w:t xml:space="preserve"> </w:t>
      </w:r>
      <w:r w:rsidR="0009631C">
        <w:t>hourly rate</w:t>
      </w:r>
      <w:r w:rsidR="00E1126D">
        <w:t xml:space="preserve"> or total compensation amount to grant the CBO for their work with PSRC</w:t>
      </w:r>
      <w:r w:rsidR="0009631C">
        <w:t>.</w:t>
      </w:r>
      <w:r w:rsidR="00E1126D">
        <w:t xml:space="preserve"> CBO staff members or volunteers will not receive compensation from PSRC.</w:t>
      </w:r>
    </w:p>
    <w:p w14:paraId="1DBECB6B" w14:textId="77777777" w:rsidR="009206C2" w:rsidRPr="009F73F3" w:rsidRDefault="009206C2" w:rsidP="009F73F3">
      <w:pPr>
        <w:pStyle w:val="ListParagraph"/>
        <w:ind w:left="360"/>
        <w:rPr>
          <w:rFonts w:cs="Arial"/>
          <w:szCs w:val="24"/>
        </w:rPr>
      </w:pPr>
    </w:p>
    <w:p w14:paraId="60FB1C32" w14:textId="58E7E71B" w:rsidR="00192B78" w:rsidRPr="009F73F3" w:rsidRDefault="00192B78" w:rsidP="009F73F3">
      <w:pPr>
        <w:rPr>
          <w:rFonts w:cs="Arial"/>
          <w:b/>
          <w:bCs/>
        </w:rPr>
      </w:pPr>
      <w:r w:rsidRPr="009F73F3">
        <w:rPr>
          <w:rFonts w:cs="Arial"/>
          <w:b/>
          <w:bCs/>
        </w:rPr>
        <w:t>Compensation Rate Structure</w:t>
      </w:r>
    </w:p>
    <w:p w14:paraId="48CA390A" w14:textId="58AF4584" w:rsidR="00192B78" w:rsidRDefault="00096BC3" w:rsidP="00192B78">
      <w:r>
        <w:t xml:space="preserve">The </w:t>
      </w:r>
      <w:r w:rsidR="00192B78">
        <w:t xml:space="preserve">Compensation Rate Structure </w:t>
      </w:r>
      <w:r>
        <w:t xml:space="preserve">will </w:t>
      </w:r>
      <w:r w:rsidR="00192B78">
        <w:t>be reevaluated periodically and compared to market rates.</w:t>
      </w:r>
      <w:r w:rsidR="0028397D">
        <w:t xml:space="preserve"> See Finance for further details.</w:t>
      </w:r>
      <w:r w:rsidR="0061249C">
        <w:t xml:space="preserve"> </w:t>
      </w:r>
      <w:r w:rsidR="005F6CEB">
        <w:t xml:space="preserve">Compensation will be determined by examining what has been done in the past and compared to 2-3 current rates by organizations performing similar work. </w:t>
      </w:r>
      <w:r w:rsidR="008E6046">
        <w:t>The Compensation Cost Estimate Form will need to be submitted to Finance prior to the start of the project. PSRC staff, or consultant, may complete the form and supporting d</w:t>
      </w:r>
      <w:r w:rsidR="000D38C2">
        <w:t>etails</w:t>
      </w:r>
      <w:r w:rsidR="008E6046">
        <w:t xml:space="preserve">. </w:t>
      </w:r>
      <w:r w:rsidR="005F6CEB">
        <w:t xml:space="preserve">These rates will be reviewed by Finance to determine </w:t>
      </w:r>
      <w:r w:rsidR="009F73F3">
        <w:t>reasonability</w:t>
      </w:r>
      <w:r w:rsidR="005F6CEB">
        <w:t>.</w:t>
      </w:r>
    </w:p>
    <w:p w14:paraId="7C0E02B8" w14:textId="408B3645" w:rsidR="005F6CEB" w:rsidRDefault="005F6CEB" w:rsidP="00192B78"/>
    <w:p w14:paraId="59630563" w14:textId="1067704B" w:rsidR="005F6CEB" w:rsidRDefault="005F6CEB" w:rsidP="00192B78">
      <w:r w:rsidRPr="009F73F3">
        <w:rPr>
          <w:u w:val="single"/>
        </w:rPr>
        <w:t>Revisions to Policy</w:t>
      </w:r>
      <w:r>
        <w:t>:</w:t>
      </w:r>
    </w:p>
    <w:p w14:paraId="15424966" w14:textId="7BB36B98" w:rsidR="005F6CEB" w:rsidRDefault="005F6CEB" w:rsidP="00192B78">
      <w:r>
        <w:t>Minor revisions to this policy may be performed administratively. Minor revisions include but are not limited to: Compensation Rate Structure, delivery method of payment as new services become available.</w:t>
      </w:r>
    </w:p>
    <w:p w14:paraId="2D33A3A6" w14:textId="3119F3D8" w:rsidR="00B81563" w:rsidRDefault="00B81563" w:rsidP="00192B78"/>
    <w:p w14:paraId="4BAC6575" w14:textId="62B84116" w:rsidR="00B81563" w:rsidRDefault="00B81563" w:rsidP="00192B78">
      <w:r>
        <w:t>This policy will be brought to the Operations Committee every 3 years for review. Next review will be in 202</w:t>
      </w:r>
      <w:r w:rsidR="00D15195">
        <w:t>5</w:t>
      </w:r>
      <w:r>
        <w:t>.</w:t>
      </w:r>
    </w:p>
    <w:p w14:paraId="3C3A7041" w14:textId="64EA087A" w:rsidR="006A7CE6" w:rsidRDefault="006A7CE6" w:rsidP="00192B78"/>
    <w:p w14:paraId="01541328" w14:textId="5753D866" w:rsidR="00AD6CB7" w:rsidRPr="00910AA6" w:rsidRDefault="00AD6CB7" w:rsidP="00192B78">
      <w:pPr>
        <w:rPr>
          <w:b/>
          <w:bCs/>
        </w:rPr>
      </w:pPr>
      <w:r w:rsidRPr="00910AA6">
        <w:rPr>
          <w:b/>
          <w:bCs/>
        </w:rPr>
        <w:t>References</w:t>
      </w:r>
    </w:p>
    <w:p w14:paraId="7EE96EF1" w14:textId="77777777" w:rsidR="00AD6CB7" w:rsidRDefault="00AD6CB7" w:rsidP="00192B78"/>
    <w:p w14:paraId="5FCE4368" w14:textId="4FD91DAA" w:rsidR="006A7CE6" w:rsidRPr="006A7CE6" w:rsidRDefault="006A7CE6" w:rsidP="006A7CE6">
      <w:pPr>
        <w:shd w:val="clear" w:color="auto" w:fill="FFFFFF"/>
        <w:rPr>
          <w:rFonts w:cs="Arial"/>
          <w:b/>
          <w:bCs/>
          <w:color w:val="333333"/>
        </w:rPr>
      </w:pPr>
      <w:r w:rsidRPr="006A7CE6">
        <w:rPr>
          <w:rFonts w:cs="Arial"/>
          <w:b/>
          <w:bCs/>
          <w:color w:val="333333"/>
        </w:rPr>
        <w:t>§ 200.422 Advisory councils</w:t>
      </w:r>
    </w:p>
    <w:p w14:paraId="06FCCCB1" w14:textId="132131BC" w:rsidR="006A7CE6" w:rsidRPr="009F73F3" w:rsidRDefault="006A7CE6" w:rsidP="009F73F3">
      <w:r w:rsidRPr="006A7CE6">
        <w:rPr>
          <w:rFonts w:cs="Arial"/>
          <w:color w:val="333333"/>
        </w:rPr>
        <w:t>Costs incurred by advisory councils or committees are unallowable unless authorized by statute, the </w:t>
      </w:r>
      <w:hyperlink r:id="rId9" w:history="1">
        <w:r w:rsidRPr="006A7CE6">
          <w:rPr>
            <w:rStyle w:val="Hyperlink"/>
            <w:rFonts w:cs="Arial"/>
            <w:color w:val="0068AC"/>
            <w:u w:val="none"/>
          </w:rPr>
          <w:t>Federal awarding agency</w:t>
        </w:r>
      </w:hyperlink>
      <w:r w:rsidRPr="006A7CE6">
        <w:rPr>
          <w:rFonts w:cs="Arial"/>
          <w:color w:val="333333"/>
        </w:rPr>
        <w:t xml:space="preserve"> or as an indirect cost where allocable to Federal </w:t>
      </w:r>
      <w:r w:rsidRPr="009F73F3">
        <w:t>awards. See </w:t>
      </w:r>
      <w:hyperlink r:id="rId10" w:history="1">
        <w:r w:rsidRPr="009F73F3">
          <w:t>§ 200.444</w:t>
        </w:r>
      </w:hyperlink>
      <w:r w:rsidRPr="009F73F3">
        <w:t>, applicable to States, local governments, and Indian tribes.</w:t>
      </w:r>
    </w:p>
    <w:p w14:paraId="7B7DB9BB" w14:textId="77777777" w:rsidR="00FE62EE" w:rsidRPr="009F73F3" w:rsidRDefault="00FE62EE" w:rsidP="009F73F3"/>
    <w:p w14:paraId="4B0FC1A8" w14:textId="58635E6A" w:rsidR="006A7CE6" w:rsidRDefault="006A7CE6" w:rsidP="00192B78"/>
    <w:p w14:paraId="5861C4BC" w14:textId="61800EFF" w:rsidR="00B223B1" w:rsidRPr="009F73F3" w:rsidRDefault="00B223B1" w:rsidP="00192B78">
      <w:pPr>
        <w:rPr>
          <w:rFonts w:cs="Arial"/>
        </w:rPr>
      </w:pPr>
    </w:p>
    <w:sectPr w:rsidR="00B223B1" w:rsidRPr="009F7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9718C"/>
    <w:multiLevelType w:val="hybridMultilevel"/>
    <w:tmpl w:val="B348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D0BF8"/>
    <w:multiLevelType w:val="hybridMultilevel"/>
    <w:tmpl w:val="5DA63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25534"/>
    <w:multiLevelType w:val="hybridMultilevel"/>
    <w:tmpl w:val="5D96D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852990"/>
    <w:multiLevelType w:val="hybridMultilevel"/>
    <w:tmpl w:val="0628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38"/>
    <w:rsid w:val="0009631C"/>
    <w:rsid w:val="00096BC3"/>
    <w:rsid w:val="000A2018"/>
    <w:rsid w:val="000C5CF9"/>
    <w:rsid w:val="000D38C2"/>
    <w:rsid w:val="0014491E"/>
    <w:rsid w:val="00172A67"/>
    <w:rsid w:val="00192B78"/>
    <w:rsid w:val="001A4CB9"/>
    <w:rsid w:val="001B61C5"/>
    <w:rsid w:val="001B7E0A"/>
    <w:rsid w:val="001E1077"/>
    <w:rsid w:val="0028397D"/>
    <w:rsid w:val="0028597E"/>
    <w:rsid w:val="002F6338"/>
    <w:rsid w:val="0031008B"/>
    <w:rsid w:val="00313D7F"/>
    <w:rsid w:val="0031564D"/>
    <w:rsid w:val="00346A18"/>
    <w:rsid w:val="00353340"/>
    <w:rsid w:val="003632CD"/>
    <w:rsid w:val="0036607E"/>
    <w:rsid w:val="003B2736"/>
    <w:rsid w:val="003D0A77"/>
    <w:rsid w:val="00425A5E"/>
    <w:rsid w:val="00482745"/>
    <w:rsid w:val="004B0A2A"/>
    <w:rsid w:val="004F4B24"/>
    <w:rsid w:val="00530F30"/>
    <w:rsid w:val="005320A8"/>
    <w:rsid w:val="00532330"/>
    <w:rsid w:val="0053319B"/>
    <w:rsid w:val="00545D7E"/>
    <w:rsid w:val="0057421E"/>
    <w:rsid w:val="00584AFC"/>
    <w:rsid w:val="005B1712"/>
    <w:rsid w:val="005E50A9"/>
    <w:rsid w:val="005E798F"/>
    <w:rsid w:val="005F6CEB"/>
    <w:rsid w:val="0061249C"/>
    <w:rsid w:val="006539D5"/>
    <w:rsid w:val="00694701"/>
    <w:rsid w:val="006A7CE6"/>
    <w:rsid w:val="006B6B68"/>
    <w:rsid w:val="006E1A43"/>
    <w:rsid w:val="006F6159"/>
    <w:rsid w:val="006F7C47"/>
    <w:rsid w:val="00761F84"/>
    <w:rsid w:val="00786E30"/>
    <w:rsid w:val="00791150"/>
    <w:rsid w:val="007B6855"/>
    <w:rsid w:val="007E4064"/>
    <w:rsid w:val="00800055"/>
    <w:rsid w:val="0080779F"/>
    <w:rsid w:val="00825A7C"/>
    <w:rsid w:val="00862FEB"/>
    <w:rsid w:val="008829C7"/>
    <w:rsid w:val="008E44D7"/>
    <w:rsid w:val="008E6046"/>
    <w:rsid w:val="008F36C8"/>
    <w:rsid w:val="00910AA6"/>
    <w:rsid w:val="009206C2"/>
    <w:rsid w:val="00921300"/>
    <w:rsid w:val="00927C34"/>
    <w:rsid w:val="00965F50"/>
    <w:rsid w:val="00987412"/>
    <w:rsid w:val="009917F8"/>
    <w:rsid w:val="00995AB9"/>
    <w:rsid w:val="009C6379"/>
    <w:rsid w:val="009F73F3"/>
    <w:rsid w:val="00A34BCD"/>
    <w:rsid w:val="00A456AB"/>
    <w:rsid w:val="00A6451C"/>
    <w:rsid w:val="00A858EC"/>
    <w:rsid w:val="00A86F6B"/>
    <w:rsid w:val="00AC5181"/>
    <w:rsid w:val="00AD6CB7"/>
    <w:rsid w:val="00B223B1"/>
    <w:rsid w:val="00B71BCC"/>
    <w:rsid w:val="00B81563"/>
    <w:rsid w:val="00B95DFE"/>
    <w:rsid w:val="00BA0C86"/>
    <w:rsid w:val="00BD3481"/>
    <w:rsid w:val="00BE4A37"/>
    <w:rsid w:val="00BF67F8"/>
    <w:rsid w:val="00C0428E"/>
    <w:rsid w:val="00C774D3"/>
    <w:rsid w:val="00CB6358"/>
    <w:rsid w:val="00CF2E58"/>
    <w:rsid w:val="00D15195"/>
    <w:rsid w:val="00D321C5"/>
    <w:rsid w:val="00D61951"/>
    <w:rsid w:val="00D62DA7"/>
    <w:rsid w:val="00DA5162"/>
    <w:rsid w:val="00DF616A"/>
    <w:rsid w:val="00E1126D"/>
    <w:rsid w:val="00E15919"/>
    <w:rsid w:val="00E46BC7"/>
    <w:rsid w:val="00E60C2C"/>
    <w:rsid w:val="00EA4B1A"/>
    <w:rsid w:val="00EE25EA"/>
    <w:rsid w:val="00EE30AF"/>
    <w:rsid w:val="00EF2AA7"/>
    <w:rsid w:val="00F142A7"/>
    <w:rsid w:val="00F3784E"/>
    <w:rsid w:val="00F5640D"/>
    <w:rsid w:val="00F77BEB"/>
    <w:rsid w:val="00FC3E9E"/>
    <w:rsid w:val="00FC6823"/>
    <w:rsid w:val="00FE62EE"/>
    <w:rsid w:val="00FF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7D93"/>
  <w15:chartTrackingRefBased/>
  <w15:docId w15:val="{E5AF481A-1108-4814-96ED-F7E96A53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338"/>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2F6338"/>
    <w:pPr>
      <w:keepNext/>
      <w:spacing w:after="60"/>
      <w:ind w:left="-288"/>
      <w:outlineLvl w:val="1"/>
    </w:pPr>
    <w:rPr>
      <w:b/>
      <w:bCs/>
      <w:iCs/>
      <w:sz w:val="28"/>
      <w:szCs w:val="28"/>
    </w:rPr>
  </w:style>
  <w:style w:type="paragraph" w:styleId="Heading3">
    <w:name w:val="heading 3"/>
    <w:basedOn w:val="Normal"/>
    <w:next w:val="Normal"/>
    <w:link w:val="Heading3Char"/>
    <w:uiPriority w:val="9"/>
    <w:semiHidden/>
    <w:unhideWhenUsed/>
    <w:qFormat/>
    <w:rsid w:val="006A7CE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6338"/>
    <w:rPr>
      <w:rFonts w:ascii="Arial" w:eastAsia="Times New Roman" w:hAnsi="Arial" w:cs="Times New Roman"/>
      <w:b/>
      <w:bCs/>
      <w:iCs/>
      <w:sz w:val="28"/>
      <w:szCs w:val="28"/>
    </w:rPr>
  </w:style>
  <w:style w:type="paragraph" w:styleId="ListParagraph">
    <w:name w:val="List Paragraph"/>
    <w:basedOn w:val="Normal"/>
    <w:uiPriority w:val="34"/>
    <w:qFormat/>
    <w:rsid w:val="002F6338"/>
    <w:pPr>
      <w:ind w:left="720"/>
      <w:contextualSpacing/>
    </w:pPr>
    <w:rPr>
      <w:rFonts w:eastAsia="Calibri"/>
      <w:szCs w:val="22"/>
    </w:rPr>
  </w:style>
  <w:style w:type="character" w:styleId="Hyperlink">
    <w:name w:val="Hyperlink"/>
    <w:uiPriority w:val="99"/>
    <w:unhideWhenUsed/>
    <w:rsid w:val="002F6338"/>
    <w:rPr>
      <w:color w:val="0000FF"/>
      <w:u w:val="single"/>
    </w:rPr>
  </w:style>
  <w:style w:type="paragraph" w:styleId="NormalWeb">
    <w:name w:val="Normal (Web)"/>
    <w:basedOn w:val="Normal"/>
    <w:uiPriority w:val="99"/>
    <w:semiHidden/>
    <w:unhideWhenUsed/>
    <w:rsid w:val="006A7CE6"/>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uiPriority w:val="9"/>
    <w:semiHidden/>
    <w:rsid w:val="006A7CE6"/>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B223B1"/>
    <w:rPr>
      <w:color w:val="954F72" w:themeColor="followedHyperlink"/>
      <w:u w:val="single"/>
    </w:rPr>
  </w:style>
  <w:style w:type="character" w:styleId="CommentReference">
    <w:name w:val="annotation reference"/>
    <w:basedOn w:val="DefaultParagraphFont"/>
    <w:uiPriority w:val="99"/>
    <w:semiHidden/>
    <w:unhideWhenUsed/>
    <w:rsid w:val="00096BC3"/>
    <w:rPr>
      <w:sz w:val="16"/>
      <w:szCs w:val="16"/>
    </w:rPr>
  </w:style>
  <w:style w:type="paragraph" w:styleId="CommentText">
    <w:name w:val="annotation text"/>
    <w:basedOn w:val="Normal"/>
    <w:link w:val="CommentTextChar"/>
    <w:uiPriority w:val="99"/>
    <w:unhideWhenUsed/>
    <w:rsid w:val="00096BC3"/>
    <w:rPr>
      <w:sz w:val="20"/>
      <w:szCs w:val="20"/>
    </w:rPr>
  </w:style>
  <w:style w:type="character" w:customStyle="1" w:styleId="CommentTextChar">
    <w:name w:val="Comment Text Char"/>
    <w:basedOn w:val="DefaultParagraphFont"/>
    <w:link w:val="CommentText"/>
    <w:uiPriority w:val="99"/>
    <w:rsid w:val="00096BC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6BC3"/>
    <w:rPr>
      <w:b/>
      <w:bCs/>
    </w:rPr>
  </w:style>
  <w:style w:type="character" w:customStyle="1" w:styleId="CommentSubjectChar">
    <w:name w:val="Comment Subject Char"/>
    <w:basedOn w:val="CommentTextChar"/>
    <w:link w:val="CommentSubject"/>
    <w:uiPriority w:val="99"/>
    <w:semiHidden/>
    <w:rsid w:val="00096BC3"/>
    <w:rPr>
      <w:rFonts w:ascii="Arial" w:eastAsia="Times New Roman" w:hAnsi="Arial" w:cs="Times New Roman"/>
      <w:b/>
      <w:bCs/>
      <w:sz w:val="20"/>
      <w:szCs w:val="20"/>
    </w:rPr>
  </w:style>
  <w:style w:type="character" w:customStyle="1" w:styleId="UnresolvedMention">
    <w:name w:val="Unresolved Mention"/>
    <w:basedOn w:val="DefaultParagraphFont"/>
    <w:uiPriority w:val="99"/>
    <w:semiHidden/>
    <w:unhideWhenUsed/>
    <w:rsid w:val="00425A5E"/>
    <w:rPr>
      <w:color w:val="605E5C"/>
      <w:shd w:val="clear" w:color="auto" w:fill="E1DFDD"/>
    </w:rPr>
  </w:style>
  <w:style w:type="paragraph" w:styleId="Revision">
    <w:name w:val="Revision"/>
    <w:hidden/>
    <w:uiPriority w:val="99"/>
    <w:semiHidden/>
    <w:rsid w:val="001B7E0A"/>
    <w:pPr>
      <w:spacing w:after="0" w:line="240" w:lineRule="auto"/>
    </w:pPr>
    <w:rPr>
      <w:rFonts w:ascii="Arial" w:eastAsia="Times New Roman" w:hAnsi="Arial" w:cs="Times New Roman"/>
      <w:sz w:val="24"/>
      <w:szCs w:val="24"/>
    </w:rPr>
  </w:style>
  <w:style w:type="character" w:styleId="Strong">
    <w:name w:val="Strong"/>
    <w:basedOn w:val="DefaultParagraphFont"/>
    <w:uiPriority w:val="22"/>
    <w:qFormat/>
    <w:rsid w:val="00584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2755">
      <w:bodyDiv w:val="1"/>
      <w:marLeft w:val="0"/>
      <w:marRight w:val="0"/>
      <w:marTop w:val="0"/>
      <w:marBottom w:val="0"/>
      <w:divBdr>
        <w:top w:val="none" w:sz="0" w:space="0" w:color="auto"/>
        <w:left w:val="none" w:sz="0" w:space="0" w:color="auto"/>
        <w:bottom w:val="none" w:sz="0" w:space="0" w:color="auto"/>
        <w:right w:val="none" w:sz="0" w:space="0" w:color="auto"/>
      </w:divBdr>
      <w:divsChild>
        <w:div w:id="820774255">
          <w:marLeft w:val="0"/>
          <w:marRight w:val="0"/>
          <w:marTop w:val="0"/>
          <w:marBottom w:val="0"/>
          <w:divBdr>
            <w:top w:val="none" w:sz="0" w:space="0" w:color="auto"/>
            <w:left w:val="none" w:sz="0" w:space="0" w:color="auto"/>
            <w:bottom w:val="none" w:sz="0" w:space="0" w:color="auto"/>
            <w:right w:val="none" w:sz="0" w:space="0" w:color="auto"/>
          </w:divBdr>
        </w:div>
      </w:divsChild>
    </w:div>
    <w:div w:id="1325358198">
      <w:bodyDiv w:val="1"/>
      <w:marLeft w:val="0"/>
      <w:marRight w:val="0"/>
      <w:marTop w:val="0"/>
      <w:marBottom w:val="0"/>
      <w:divBdr>
        <w:top w:val="none" w:sz="0" w:space="0" w:color="auto"/>
        <w:left w:val="none" w:sz="0" w:space="0" w:color="auto"/>
        <w:bottom w:val="none" w:sz="0" w:space="0" w:color="auto"/>
        <w:right w:val="none" w:sz="0" w:space="0" w:color="auto"/>
      </w:divBdr>
      <w:divsChild>
        <w:div w:id="679161057">
          <w:marLeft w:val="0"/>
          <w:marRight w:val="0"/>
          <w:marTop w:val="0"/>
          <w:marBottom w:val="0"/>
          <w:divBdr>
            <w:top w:val="none" w:sz="0" w:space="0" w:color="auto"/>
            <w:left w:val="none" w:sz="0" w:space="0" w:color="auto"/>
            <w:bottom w:val="none" w:sz="0" w:space="0" w:color="auto"/>
            <w:right w:val="none" w:sz="0" w:space="0" w:color="auto"/>
          </w:divBdr>
        </w:div>
        <w:div w:id="1051267600">
          <w:marLeft w:val="0"/>
          <w:marRight w:val="0"/>
          <w:marTop w:val="0"/>
          <w:marBottom w:val="0"/>
          <w:divBdr>
            <w:top w:val="none" w:sz="0" w:space="0" w:color="auto"/>
            <w:left w:val="none" w:sz="0" w:space="0" w:color="auto"/>
            <w:bottom w:val="none" w:sz="0" w:space="0" w:color="auto"/>
            <w:right w:val="none" w:sz="0" w:space="0" w:color="auto"/>
          </w:divBdr>
        </w:div>
        <w:div w:id="1830365569">
          <w:marLeft w:val="0"/>
          <w:marRight w:val="0"/>
          <w:marTop w:val="0"/>
          <w:marBottom w:val="0"/>
          <w:divBdr>
            <w:top w:val="none" w:sz="0" w:space="0" w:color="auto"/>
            <w:left w:val="none" w:sz="0" w:space="0" w:color="auto"/>
            <w:bottom w:val="none" w:sz="0" w:space="0" w:color="auto"/>
            <w:right w:val="none" w:sz="0" w:space="0" w:color="auto"/>
          </w:divBdr>
          <w:divsChild>
            <w:div w:id="19532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431">
      <w:bodyDiv w:val="1"/>
      <w:marLeft w:val="0"/>
      <w:marRight w:val="0"/>
      <w:marTop w:val="0"/>
      <w:marBottom w:val="0"/>
      <w:divBdr>
        <w:top w:val="none" w:sz="0" w:space="0" w:color="auto"/>
        <w:left w:val="none" w:sz="0" w:space="0" w:color="auto"/>
        <w:bottom w:val="none" w:sz="0" w:space="0" w:color="auto"/>
        <w:right w:val="none" w:sz="0" w:space="0" w:color="auto"/>
      </w:divBdr>
      <w:divsChild>
        <w:div w:id="917177296">
          <w:marLeft w:val="0"/>
          <w:marRight w:val="0"/>
          <w:marTop w:val="0"/>
          <w:marBottom w:val="0"/>
          <w:divBdr>
            <w:top w:val="none" w:sz="0" w:space="0" w:color="auto"/>
            <w:left w:val="none" w:sz="0" w:space="0" w:color="auto"/>
            <w:bottom w:val="none" w:sz="0" w:space="0" w:color="auto"/>
            <w:right w:val="none" w:sz="0" w:space="0" w:color="auto"/>
          </w:divBdr>
        </w:div>
        <w:div w:id="1022170639">
          <w:marLeft w:val="0"/>
          <w:marRight w:val="0"/>
          <w:marTop w:val="0"/>
          <w:marBottom w:val="0"/>
          <w:divBdr>
            <w:top w:val="none" w:sz="0" w:space="0" w:color="auto"/>
            <w:left w:val="none" w:sz="0" w:space="0" w:color="auto"/>
            <w:bottom w:val="none" w:sz="0" w:space="0" w:color="auto"/>
            <w:right w:val="none" w:sz="0" w:space="0" w:color="auto"/>
          </w:divBdr>
        </w:div>
        <w:div w:id="782968176">
          <w:marLeft w:val="0"/>
          <w:marRight w:val="0"/>
          <w:marTop w:val="0"/>
          <w:marBottom w:val="0"/>
          <w:divBdr>
            <w:top w:val="none" w:sz="0" w:space="0" w:color="auto"/>
            <w:left w:val="none" w:sz="0" w:space="0" w:color="auto"/>
            <w:bottom w:val="none" w:sz="0" w:space="0" w:color="auto"/>
            <w:right w:val="none" w:sz="0" w:space="0" w:color="auto"/>
          </w:divBdr>
          <w:divsChild>
            <w:div w:id="1121847989">
              <w:marLeft w:val="0"/>
              <w:marRight w:val="0"/>
              <w:marTop w:val="0"/>
              <w:marBottom w:val="0"/>
              <w:divBdr>
                <w:top w:val="none" w:sz="0" w:space="0" w:color="auto"/>
                <w:left w:val="none" w:sz="0" w:space="0" w:color="auto"/>
                <w:bottom w:val="none" w:sz="0" w:space="0" w:color="auto"/>
                <w:right w:val="none" w:sz="0" w:space="0" w:color="auto"/>
              </w:divBdr>
            </w:div>
            <w:div w:id="1135486980">
              <w:marLeft w:val="0"/>
              <w:marRight w:val="0"/>
              <w:marTop w:val="0"/>
              <w:marBottom w:val="0"/>
              <w:divBdr>
                <w:top w:val="none" w:sz="0" w:space="0" w:color="auto"/>
                <w:left w:val="none" w:sz="0" w:space="0" w:color="auto"/>
                <w:bottom w:val="none" w:sz="0" w:space="0" w:color="auto"/>
                <w:right w:val="none" w:sz="0" w:space="0" w:color="auto"/>
              </w:divBdr>
            </w:div>
            <w:div w:id="870997008">
              <w:marLeft w:val="0"/>
              <w:marRight w:val="0"/>
              <w:marTop w:val="0"/>
              <w:marBottom w:val="0"/>
              <w:divBdr>
                <w:top w:val="none" w:sz="0" w:space="0" w:color="auto"/>
                <w:left w:val="none" w:sz="0" w:space="0" w:color="auto"/>
                <w:bottom w:val="none" w:sz="0" w:space="0" w:color="auto"/>
                <w:right w:val="none" w:sz="0" w:space="0" w:color="auto"/>
              </w:divBdr>
            </w:div>
            <w:div w:id="1895045943">
              <w:marLeft w:val="0"/>
              <w:marRight w:val="0"/>
              <w:marTop w:val="0"/>
              <w:marBottom w:val="0"/>
              <w:divBdr>
                <w:top w:val="none" w:sz="0" w:space="0" w:color="auto"/>
                <w:left w:val="none" w:sz="0" w:space="0" w:color="auto"/>
                <w:bottom w:val="none" w:sz="0" w:space="0" w:color="auto"/>
                <w:right w:val="none" w:sz="0" w:space="0" w:color="auto"/>
              </w:divBdr>
            </w:div>
            <w:div w:id="197204308">
              <w:marLeft w:val="0"/>
              <w:marRight w:val="0"/>
              <w:marTop w:val="0"/>
              <w:marBottom w:val="0"/>
              <w:divBdr>
                <w:top w:val="none" w:sz="0" w:space="0" w:color="auto"/>
                <w:left w:val="none" w:sz="0" w:space="0" w:color="auto"/>
                <w:bottom w:val="none" w:sz="0" w:space="0" w:color="auto"/>
                <w:right w:val="none" w:sz="0" w:space="0" w:color="auto"/>
              </w:divBdr>
            </w:div>
            <w:div w:id="849755731">
              <w:marLeft w:val="0"/>
              <w:marRight w:val="0"/>
              <w:marTop w:val="0"/>
              <w:marBottom w:val="0"/>
              <w:divBdr>
                <w:top w:val="none" w:sz="0" w:space="0" w:color="auto"/>
                <w:left w:val="none" w:sz="0" w:space="0" w:color="auto"/>
                <w:bottom w:val="none" w:sz="0" w:space="0" w:color="auto"/>
                <w:right w:val="none" w:sz="0" w:space="0" w:color="auto"/>
              </w:divBdr>
            </w:div>
            <w:div w:id="507141101">
              <w:marLeft w:val="0"/>
              <w:marRight w:val="0"/>
              <w:marTop w:val="0"/>
              <w:marBottom w:val="0"/>
              <w:divBdr>
                <w:top w:val="none" w:sz="0" w:space="0" w:color="auto"/>
                <w:left w:val="none" w:sz="0" w:space="0" w:color="auto"/>
                <w:bottom w:val="none" w:sz="0" w:space="0" w:color="auto"/>
                <w:right w:val="none" w:sz="0" w:space="0" w:color="auto"/>
              </w:divBdr>
            </w:div>
          </w:divsChild>
        </w:div>
        <w:div w:id="1552888108">
          <w:marLeft w:val="0"/>
          <w:marRight w:val="0"/>
          <w:marTop w:val="300"/>
          <w:marBottom w:val="0"/>
          <w:divBdr>
            <w:top w:val="none" w:sz="0" w:space="0" w:color="auto"/>
            <w:left w:val="none" w:sz="0" w:space="0" w:color="auto"/>
            <w:bottom w:val="none" w:sz="0" w:space="0" w:color="auto"/>
            <w:right w:val="none" w:sz="0" w:space="0" w:color="auto"/>
          </w:divBdr>
        </w:div>
        <w:div w:id="1963345257">
          <w:marLeft w:val="0"/>
          <w:marRight w:val="0"/>
          <w:marTop w:val="360"/>
          <w:marBottom w:val="360"/>
          <w:divBdr>
            <w:top w:val="none" w:sz="0" w:space="0" w:color="auto"/>
            <w:left w:val="none" w:sz="0" w:space="0" w:color="auto"/>
            <w:bottom w:val="none" w:sz="0" w:space="0" w:color="auto"/>
            <w:right w:val="none" w:sz="0" w:space="0" w:color="auto"/>
          </w:divBdr>
        </w:div>
        <w:div w:id="1461143148">
          <w:marLeft w:val="0"/>
          <w:marRight w:val="0"/>
          <w:marTop w:val="0"/>
          <w:marBottom w:val="288"/>
          <w:divBdr>
            <w:top w:val="none" w:sz="0" w:space="0" w:color="auto"/>
            <w:left w:val="none" w:sz="0" w:space="0" w:color="auto"/>
            <w:bottom w:val="none" w:sz="0" w:space="0" w:color="auto"/>
            <w:right w:val="none" w:sz="0" w:space="0" w:color="auto"/>
          </w:divBdr>
          <w:divsChild>
            <w:div w:id="1858229366">
              <w:marLeft w:val="0"/>
              <w:marRight w:val="0"/>
              <w:marTop w:val="0"/>
              <w:marBottom w:val="0"/>
              <w:divBdr>
                <w:top w:val="none" w:sz="0" w:space="0" w:color="auto"/>
                <w:left w:val="none" w:sz="0" w:space="0" w:color="auto"/>
                <w:bottom w:val="none" w:sz="0" w:space="0" w:color="auto"/>
                <w:right w:val="none" w:sz="0" w:space="0" w:color="auto"/>
              </w:divBdr>
            </w:div>
          </w:divsChild>
        </w:div>
        <w:div w:id="703284306">
          <w:marLeft w:val="0"/>
          <w:marRight w:val="0"/>
          <w:marTop w:val="0"/>
          <w:marBottom w:val="0"/>
          <w:divBdr>
            <w:top w:val="none" w:sz="0" w:space="0" w:color="auto"/>
            <w:left w:val="none" w:sz="0" w:space="0" w:color="auto"/>
            <w:bottom w:val="none" w:sz="0" w:space="0" w:color="auto"/>
            <w:right w:val="none" w:sz="0" w:space="0" w:color="auto"/>
          </w:divBdr>
        </w:div>
        <w:div w:id="412435570">
          <w:marLeft w:val="0"/>
          <w:marRight w:val="0"/>
          <w:marTop w:val="0"/>
          <w:marBottom w:val="0"/>
          <w:divBdr>
            <w:top w:val="none" w:sz="0" w:space="0" w:color="auto"/>
            <w:left w:val="none" w:sz="0" w:space="0" w:color="auto"/>
            <w:bottom w:val="none" w:sz="0" w:space="0" w:color="auto"/>
            <w:right w:val="none" w:sz="0" w:space="0" w:color="auto"/>
          </w:divBdr>
        </w:div>
        <w:div w:id="2137136802">
          <w:marLeft w:val="0"/>
          <w:marRight w:val="0"/>
          <w:marTop w:val="0"/>
          <w:marBottom w:val="0"/>
          <w:divBdr>
            <w:top w:val="none" w:sz="0" w:space="0" w:color="auto"/>
            <w:left w:val="none" w:sz="0" w:space="0" w:color="auto"/>
            <w:bottom w:val="none" w:sz="0" w:space="0" w:color="auto"/>
            <w:right w:val="none" w:sz="0" w:space="0" w:color="auto"/>
          </w:divBdr>
          <w:divsChild>
            <w:div w:id="1500075406">
              <w:marLeft w:val="0"/>
              <w:marRight w:val="0"/>
              <w:marTop w:val="0"/>
              <w:marBottom w:val="0"/>
              <w:divBdr>
                <w:top w:val="none" w:sz="0" w:space="0" w:color="auto"/>
                <w:left w:val="none" w:sz="0" w:space="0" w:color="auto"/>
                <w:bottom w:val="none" w:sz="0" w:space="0" w:color="auto"/>
                <w:right w:val="none" w:sz="0" w:space="0" w:color="auto"/>
              </w:divBdr>
            </w:div>
            <w:div w:id="1500736463">
              <w:marLeft w:val="0"/>
              <w:marRight w:val="0"/>
              <w:marTop w:val="0"/>
              <w:marBottom w:val="0"/>
              <w:divBdr>
                <w:top w:val="none" w:sz="0" w:space="0" w:color="auto"/>
                <w:left w:val="none" w:sz="0" w:space="0" w:color="auto"/>
                <w:bottom w:val="none" w:sz="0" w:space="0" w:color="auto"/>
                <w:right w:val="none" w:sz="0" w:space="0" w:color="auto"/>
              </w:divBdr>
            </w:div>
            <w:div w:id="487093872">
              <w:marLeft w:val="0"/>
              <w:marRight w:val="0"/>
              <w:marTop w:val="0"/>
              <w:marBottom w:val="0"/>
              <w:divBdr>
                <w:top w:val="none" w:sz="0" w:space="0" w:color="auto"/>
                <w:left w:val="none" w:sz="0" w:space="0" w:color="auto"/>
                <w:bottom w:val="none" w:sz="0" w:space="0" w:color="auto"/>
                <w:right w:val="none" w:sz="0" w:space="0" w:color="auto"/>
              </w:divBdr>
            </w:div>
            <w:div w:id="1076171304">
              <w:marLeft w:val="0"/>
              <w:marRight w:val="0"/>
              <w:marTop w:val="0"/>
              <w:marBottom w:val="0"/>
              <w:divBdr>
                <w:top w:val="none" w:sz="0" w:space="0" w:color="auto"/>
                <w:left w:val="none" w:sz="0" w:space="0" w:color="auto"/>
                <w:bottom w:val="none" w:sz="0" w:space="0" w:color="auto"/>
                <w:right w:val="none" w:sz="0" w:space="0" w:color="auto"/>
              </w:divBdr>
            </w:div>
            <w:div w:id="422845856">
              <w:marLeft w:val="0"/>
              <w:marRight w:val="0"/>
              <w:marTop w:val="0"/>
              <w:marBottom w:val="0"/>
              <w:divBdr>
                <w:top w:val="none" w:sz="0" w:space="0" w:color="auto"/>
                <w:left w:val="none" w:sz="0" w:space="0" w:color="auto"/>
                <w:bottom w:val="none" w:sz="0" w:space="0" w:color="auto"/>
                <w:right w:val="none" w:sz="0" w:space="0" w:color="auto"/>
              </w:divBdr>
            </w:div>
            <w:div w:id="279073505">
              <w:marLeft w:val="0"/>
              <w:marRight w:val="0"/>
              <w:marTop w:val="0"/>
              <w:marBottom w:val="0"/>
              <w:divBdr>
                <w:top w:val="none" w:sz="0" w:space="0" w:color="auto"/>
                <w:left w:val="none" w:sz="0" w:space="0" w:color="auto"/>
                <w:bottom w:val="none" w:sz="0" w:space="0" w:color="auto"/>
                <w:right w:val="none" w:sz="0" w:space="0" w:color="auto"/>
              </w:divBdr>
            </w:div>
            <w:div w:id="8240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psrc.org" TargetMode="External"/><Relationship Id="rId3" Type="http://schemas.openxmlformats.org/officeDocument/2006/relationships/styles" Target="styles.xml"/><Relationship Id="rId7" Type="http://schemas.openxmlformats.org/officeDocument/2006/relationships/hyperlink" Target="mailto:finance@psrc.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winsider.com/dictionary/community-based-organization-cb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aw.cornell.edu/cfr/text/2/200.444"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3164f893d6d82447c92d899285ce22b2&amp;term_occur=999&amp;term_src=Title:2:Subtitle:A:Chapter:II:Part:200:Subpart:E:Subjgrp:41:200.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EBDC3-00D7-4355-A775-B62769F3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Mayer</dc:creator>
  <cp:keywords/>
  <dc:description/>
  <cp:lastModifiedBy>Mary Reinbold</cp:lastModifiedBy>
  <cp:revision>2</cp:revision>
  <dcterms:created xsi:type="dcterms:W3CDTF">2022-08-29T23:11:00Z</dcterms:created>
  <dcterms:modified xsi:type="dcterms:W3CDTF">2022-08-29T23:11:00Z</dcterms:modified>
</cp:coreProperties>
</file>